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4F026E50" w:rsidR="00467217" w:rsidRPr="003B6F38" w:rsidRDefault="00174025">
            <w:pPr>
              <w:widowControl w:val="0"/>
              <w:rPr>
                <w:sz w:val="20"/>
                <w:szCs w:val="20"/>
              </w:rPr>
            </w:pPr>
            <w:r w:rsidRPr="00174025">
              <w:rPr>
                <w:sz w:val="20"/>
                <w:szCs w:val="20"/>
              </w:rPr>
              <w:t xml:space="preserve">Taxi and Car hire services in Nairobi, </w:t>
            </w:r>
            <w:proofErr w:type="spellStart"/>
            <w:r w:rsidRPr="00174025">
              <w:rPr>
                <w:sz w:val="20"/>
                <w:szCs w:val="20"/>
              </w:rPr>
              <w:t>Isiolo</w:t>
            </w:r>
            <w:proofErr w:type="spellEnd"/>
            <w:r w:rsidRPr="00174025">
              <w:rPr>
                <w:sz w:val="20"/>
                <w:szCs w:val="20"/>
              </w:rPr>
              <w:t xml:space="preserve">, </w:t>
            </w:r>
            <w:proofErr w:type="spellStart"/>
            <w:r w:rsidRPr="00174025">
              <w:rPr>
                <w:sz w:val="20"/>
                <w:szCs w:val="20"/>
              </w:rPr>
              <w:t>Marsabit</w:t>
            </w:r>
            <w:proofErr w:type="spellEnd"/>
            <w:r w:rsidRPr="00174025">
              <w:rPr>
                <w:sz w:val="20"/>
                <w:szCs w:val="20"/>
              </w:rPr>
              <w:t xml:space="preserve"> and Samburu.</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82A9CA1" w:rsidR="00467217" w:rsidRPr="003B6F38" w:rsidRDefault="004D7F69">
            <w:pPr>
              <w:widowControl w:val="0"/>
              <w:rPr>
                <w:sz w:val="20"/>
                <w:szCs w:val="20"/>
              </w:rPr>
            </w:pPr>
            <w:r w:rsidRPr="004D7F69">
              <w:rPr>
                <w:sz w:val="20"/>
                <w:szCs w:val="20"/>
              </w:rPr>
              <w:t>MCK-MSA-TAXI-00</w:t>
            </w:r>
            <w:r>
              <w:rPr>
                <w:sz w:val="20"/>
                <w:szCs w:val="20"/>
              </w:rPr>
              <w:t>7</w:t>
            </w:r>
            <w:r w:rsidRPr="004D7F69">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96EA" w14:textId="77777777" w:rsidR="004D1CC5" w:rsidRDefault="004D1CC5">
      <w:r>
        <w:separator/>
      </w:r>
    </w:p>
  </w:endnote>
  <w:endnote w:type="continuationSeparator" w:id="0">
    <w:p w14:paraId="3D93F10E" w14:textId="77777777" w:rsidR="004D1CC5" w:rsidRDefault="004D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B286" w14:textId="77777777" w:rsidR="004D1CC5" w:rsidRDefault="004D1CC5">
      <w:r>
        <w:separator/>
      </w:r>
    </w:p>
  </w:footnote>
  <w:footnote w:type="continuationSeparator" w:id="0">
    <w:p w14:paraId="6006926D" w14:textId="77777777" w:rsidR="004D1CC5" w:rsidRDefault="004D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74025"/>
    <w:rsid w:val="00196B89"/>
    <w:rsid w:val="00197860"/>
    <w:rsid w:val="001F0551"/>
    <w:rsid w:val="00242618"/>
    <w:rsid w:val="00293CA9"/>
    <w:rsid w:val="00303F31"/>
    <w:rsid w:val="00325555"/>
    <w:rsid w:val="00332F14"/>
    <w:rsid w:val="003337CD"/>
    <w:rsid w:val="0037410D"/>
    <w:rsid w:val="003B6F38"/>
    <w:rsid w:val="003F098F"/>
    <w:rsid w:val="00422C81"/>
    <w:rsid w:val="00467217"/>
    <w:rsid w:val="004C2C8D"/>
    <w:rsid w:val="004D1CC5"/>
    <w:rsid w:val="004D7F69"/>
    <w:rsid w:val="005254DF"/>
    <w:rsid w:val="00550DF1"/>
    <w:rsid w:val="005A659A"/>
    <w:rsid w:val="005E15A6"/>
    <w:rsid w:val="00617490"/>
    <w:rsid w:val="0063212B"/>
    <w:rsid w:val="00632AE5"/>
    <w:rsid w:val="00653E6A"/>
    <w:rsid w:val="0065788B"/>
    <w:rsid w:val="006825B9"/>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360C6"/>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