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748" w:rsidP="005C255F" w:rsidRDefault="00766748" w14:paraId="06002988" w14:textId="59F2514A">
      <w:pPr>
        <w:spacing w:line="240" w:lineRule="auto"/>
      </w:pPr>
    </w:p>
    <w:p w:rsidR="001153E9" w:rsidP="005C255F" w:rsidRDefault="001153E9" w14:paraId="6B6580E0" w14:textId="77777777">
      <w:pPr>
        <w:spacing w:line="240" w:lineRule="auto"/>
      </w:pPr>
    </w:p>
    <w:p w:rsidR="000E44F7" w:rsidP="005C255F" w:rsidRDefault="000E44F7" w14:paraId="20EB9AEE" w14:textId="77777777">
      <w:pPr>
        <w:spacing w:line="240" w:lineRule="auto"/>
      </w:pPr>
    </w:p>
    <w:p w:rsidR="000E44F7" w:rsidP="005C255F" w:rsidRDefault="000E44F7" w14:paraId="375AF8FC" w14:textId="77777777">
      <w:pPr>
        <w:spacing w:line="240" w:lineRule="auto"/>
      </w:pPr>
    </w:p>
    <w:p w:rsidR="000E44F7" w:rsidP="005C255F" w:rsidRDefault="000E44F7" w14:paraId="55DA9C43" w14:textId="77777777">
      <w:pPr>
        <w:spacing w:line="240" w:lineRule="auto"/>
      </w:pPr>
    </w:p>
    <w:p w:rsidR="000E44F7" w:rsidP="005C255F" w:rsidRDefault="000E44F7" w14:paraId="1E58AF2A" w14:textId="03BD33D7">
      <w:pPr>
        <w:spacing w:line="240" w:lineRule="auto"/>
        <w:jc w:val="center"/>
        <w:rPr>
          <w:b/>
          <w:bCs/>
          <w:color w:val="C8102E"/>
          <w:sz w:val="52"/>
          <w:szCs w:val="52"/>
        </w:rPr>
      </w:pPr>
      <w:r>
        <w:rPr>
          <w:b/>
          <w:color w:val="C8102E"/>
          <w:sz w:val="52"/>
        </w:rPr>
        <w:t>Demande de qualification</w:t>
      </w:r>
    </w:p>
    <w:p w:rsidRPr="000E44F7" w:rsidR="000E44F7" w:rsidP="005C255F" w:rsidRDefault="000E44F7" w14:paraId="5E243D9C" w14:textId="347C1784">
      <w:pPr>
        <w:spacing w:before="240" w:line="240" w:lineRule="auto"/>
        <w:jc w:val="center"/>
        <w:rPr>
          <w:b/>
          <w:bCs/>
          <w:color w:val="0F243E" w:themeColor="text2" w:themeShade="80"/>
          <w:sz w:val="40"/>
          <w:szCs w:val="40"/>
        </w:rPr>
      </w:pPr>
      <w:r>
        <w:rPr>
          <w:b/>
          <w:color w:val="0F243E" w:themeColor="text2" w:themeShade="80"/>
          <w:sz w:val="40"/>
        </w:rPr>
        <w:t>Suivi, évaluation et recherche (MER) Prestataires de services</w:t>
      </w:r>
    </w:p>
    <w:p w:rsidRPr="00464E54" w:rsidR="00766748" w:rsidP="005C255F" w:rsidRDefault="004C5E14" w14:paraId="4F45F9F5" w14:textId="77777777">
      <w:pPr>
        <w:spacing w:line="240" w:lineRule="auto"/>
      </w:pPr>
      <w:r>
        <w:t xml:space="preserve"> </w:t>
      </w:r>
    </w:p>
    <w:p w:rsidR="00766748" w:rsidP="005C255F" w:rsidRDefault="004C5E14" w14:paraId="4A9304A5" w14:textId="77777777">
      <w:pPr>
        <w:spacing w:line="240" w:lineRule="auto"/>
      </w:pPr>
      <w:r>
        <w:t xml:space="preserve"> </w:t>
      </w:r>
    </w:p>
    <w:p w:rsidR="001153E9" w:rsidP="005C255F" w:rsidRDefault="001153E9" w14:paraId="297780DB" w14:textId="77777777">
      <w:pPr>
        <w:spacing w:line="240" w:lineRule="auto"/>
      </w:pPr>
    </w:p>
    <w:p w:rsidRPr="00464E54" w:rsidR="001153E9" w:rsidP="005C255F" w:rsidRDefault="001153E9" w14:paraId="4AFBB670" w14:textId="77777777">
      <w:pPr>
        <w:spacing w:line="240" w:lineRule="auto"/>
      </w:pPr>
    </w:p>
    <w:p w:rsidRPr="001153E9" w:rsidR="000E44F7" w:rsidP="005C255F" w:rsidRDefault="003CF98A" w14:paraId="2CFA07B3" w14:textId="627DAF85">
      <w:pPr>
        <w:spacing w:line="240" w:lineRule="auto"/>
        <w:jc w:val="center"/>
        <w:rPr>
          <w:b/>
          <w:bCs/>
          <w:color w:val="0F243E" w:themeColor="text2" w:themeShade="80"/>
          <w:sz w:val="32"/>
          <w:szCs w:val="32"/>
        </w:rPr>
      </w:pPr>
      <w:r>
        <w:rPr>
          <w:b/>
          <w:color w:val="0F243E" w:themeColor="text2" w:themeShade="80"/>
          <w:sz w:val="32"/>
        </w:rPr>
        <w:t>Numéro d</w:t>
      </w:r>
      <w:r w:rsidR="00A35C4D">
        <w:rPr>
          <w:b/>
          <w:color w:val="0F243E" w:themeColor="text2" w:themeShade="80"/>
          <w:sz w:val="32"/>
        </w:rPr>
        <w:t>’</w:t>
      </w:r>
      <w:r>
        <w:rPr>
          <w:b/>
          <w:color w:val="0F243E" w:themeColor="text2" w:themeShade="80"/>
          <w:sz w:val="32"/>
        </w:rPr>
        <w:t>appel d</w:t>
      </w:r>
      <w:r w:rsidR="00A35C4D">
        <w:rPr>
          <w:b/>
          <w:color w:val="0F243E" w:themeColor="text2" w:themeShade="80"/>
          <w:sz w:val="32"/>
        </w:rPr>
        <w:t>’</w:t>
      </w:r>
      <w:r>
        <w:rPr>
          <w:b/>
          <w:color w:val="0F243E" w:themeColor="text2" w:themeShade="80"/>
          <w:sz w:val="32"/>
        </w:rPr>
        <w:t>offres</w:t>
      </w:r>
      <w:r w:rsidR="00A35C4D">
        <w:rPr>
          <w:b/>
          <w:color w:val="0F243E" w:themeColor="text2" w:themeShade="80"/>
          <w:sz w:val="32"/>
        </w:rPr>
        <w:t> </w:t>
      </w:r>
      <w:r>
        <w:rPr>
          <w:b/>
          <w:color w:val="0F243E" w:themeColor="text2" w:themeShade="80"/>
          <w:sz w:val="32"/>
        </w:rPr>
        <w:t>: PQ002</w:t>
      </w:r>
    </w:p>
    <w:p w:rsidR="000E44F7" w:rsidP="005C255F" w:rsidRDefault="000E44F7" w14:paraId="02A7D0CC" w14:textId="77777777">
      <w:pPr>
        <w:spacing w:line="240" w:lineRule="auto"/>
      </w:pPr>
    </w:p>
    <w:p w:rsidR="001153E9" w:rsidP="005C255F" w:rsidRDefault="001153E9" w14:paraId="0FDAA6E7" w14:textId="77777777">
      <w:pPr>
        <w:spacing w:line="240" w:lineRule="auto"/>
      </w:pPr>
    </w:p>
    <w:p w:rsidRPr="006023CB" w:rsidR="00766748" w:rsidP="005C255F" w:rsidRDefault="217841C2" w14:paraId="5FEBA789" w14:textId="2F355D4A">
      <w:pPr>
        <w:spacing w:line="240" w:lineRule="auto"/>
        <w:jc w:val="center"/>
        <w:rPr>
          <w:b w:val="1"/>
          <w:bCs w:val="1"/>
          <w:color w:val="0F243E" w:themeColor="text2" w:themeShade="80"/>
          <w:sz w:val="32"/>
          <w:szCs w:val="32"/>
        </w:rPr>
      </w:pPr>
      <w:r w:rsidRPr="01568136" w:rsidR="217841C2">
        <w:rPr>
          <w:b w:val="1"/>
          <w:bCs w:val="1"/>
          <w:color w:val="0F243E" w:themeColor="text2" w:themeTint="FF" w:themeShade="80"/>
          <w:sz w:val="32"/>
          <w:szCs w:val="32"/>
        </w:rPr>
        <w:t>Date de clôture</w:t>
      </w:r>
      <w:r w:rsidRPr="01568136" w:rsidR="00A35C4D">
        <w:rPr>
          <w:b w:val="1"/>
          <w:bCs w:val="1"/>
          <w:color w:val="0F243E" w:themeColor="text2" w:themeTint="FF" w:themeShade="80"/>
          <w:sz w:val="32"/>
          <w:szCs w:val="32"/>
        </w:rPr>
        <w:t> </w:t>
      </w:r>
      <w:r w:rsidRPr="01568136" w:rsidR="217841C2">
        <w:rPr>
          <w:b w:val="1"/>
          <w:bCs w:val="1"/>
          <w:color w:val="0F243E" w:themeColor="text2" w:themeTint="FF" w:themeShade="80"/>
          <w:sz w:val="32"/>
          <w:szCs w:val="32"/>
        </w:rPr>
        <w:t xml:space="preserve">: </w:t>
      </w:r>
      <w:r w:rsidRPr="01568136" w:rsidR="14CF1835">
        <w:rPr>
          <w:b w:val="1"/>
          <w:bCs w:val="1"/>
          <w:color w:val="0F243E" w:themeColor="text2" w:themeTint="FF" w:themeShade="80"/>
          <w:sz w:val="32"/>
          <w:szCs w:val="32"/>
        </w:rPr>
        <w:t>Mercredi 29 novembre 2023 à 17h PST</w:t>
      </w:r>
    </w:p>
    <w:p w:rsidRPr="00464E54" w:rsidR="00766748" w:rsidP="005C255F" w:rsidRDefault="00766748" w14:paraId="6E872854" w14:textId="77777777">
      <w:pPr>
        <w:spacing w:line="240" w:lineRule="auto"/>
      </w:pPr>
    </w:p>
    <w:p w:rsidR="00766748" w:rsidP="005C255F" w:rsidRDefault="00766748" w14:paraId="52231E7E" w14:textId="5905062D">
      <w:pPr>
        <w:spacing w:before="260" w:after="0" w:line="240" w:lineRule="auto"/>
        <w:jc w:val="center"/>
      </w:pPr>
    </w:p>
    <w:p w:rsidR="00464E54" w:rsidP="005C255F" w:rsidRDefault="00464E54" w14:paraId="30CAE103" w14:textId="722702CF">
      <w:pPr>
        <w:spacing w:line="240" w:lineRule="auto"/>
      </w:pPr>
    </w:p>
    <w:p w:rsidRPr="00464E54" w:rsidR="00464E54" w:rsidP="005C255F" w:rsidRDefault="00464E54" w14:paraId="5DA3AD6B" w14:textId="77777777">
      <w:pPr>
        <w:spacing w:line="240" w:lineRule="auto"/>
      </w:pPr>
    </w:p>
    <w:p w:rsidRPr="00464E54" w:rsidR="00766748" w:rsidP="005C255F" w:rsidRDefault="00766748" w14:paraId="2855AAE8" w14:textId="77777777">
      <w:pPr>
        <w:spacing w:line="240" w:lineRule="auto"/>
      </w:pPr>
    </w:p>
    <w:p w:rsidRPr="00464E54" w:rsidR="00766748" w:rsidP="005C255F" w:rsidRDefault="00766748" w14:paraId="798A45AB" w14:textId="77777777">
      <w:pPr>
        <w:spacing w:line="240" w:lineRule="auto"/>
      </w:pPr>
    </w:p>
    <w:p w:rsidR="002A2E35" w:rsidP="005C255F" w:rsidRDefault="002A2E35" w14:paraId="489FA496" w14:textId="192AA7B7">
      <w:pPr>
        <w:spacing w:line="240" w:lineRule="auto"/>
      </w:pPr>
    </w:p>
    <w:p w:rsidR="00877546" w:rsidP="005C255F" w:rsidRDefault="00877546" w14:paraId="77639877" w14:textId="77777777">
      <w:pPr>
        <w:spacing w:line="240" w:lineRule="auto"/>
      </w:pPr>
    </w:p>
    <w:p w:rsidR="001153E9" w:rsidP="005C255F" w:rsidRDefault="001153E9" w14:paraId="27E2A584" w14:textId="77777777">
      <w:pPr>
        <w:spacing w:line="240" w:lineRule="auto"/>
      </w:pPr>
    </w:p>
    <w:p w:rsidRPr="00464E54" w:rsidR="001153E9" w:rsidP="005C255F" w:rsidRDefault="001153E9" w14:paraId="207DF2C3" w14:textId="77777777">
      <w:pPr>
        <w:spacing w:line="240" w:lineRule="auto"/>
      </w:pPr>
    </w:p>
    <w:bookmarkStart w:name="_pi91xkudzcyz" w:colFirst="0" w:colLast="0" w:displacedByCustomXml="next" w:id="0"/>
    <w:bookmarkEnd w:displacedByCustomXml="next" w:id="0"/>
    <w:sdt>
      <w:sdtPr>
        <w:rPr>
          <w:rFonts w:eastAsiaTheme="minorEastAsia"/>
          <w:b w:val="0"/>
          <w:bCs w:val="0"/>
          <w:color w:val="auto"/>
          <w:sz w:val="22"/>
          <w:szCs w:val="22"/>
          <w:shd w:val="clear" w:color="auto" w:fill="E6E6E6"/>
        </w:rPr>
        <w:id w:val="674612988"/>
        <w:docPartObj>
          <w:docPartGallery w:val="Table of Contents"/>
          <w:docPartUnique/>
        </w:docPartObj>
      </w:sdtPr>
      <w:sdtEndPr>
        <w:rPr>
          <w:noProof/>
          <w:color w:val="000000" w:themeColor="text1"/>
        </w:rPr>
      </w:sdtEndPr>
      <w:sdtContent>
        <w:p w:rsidRPr="009178F1" w:rsidR="001153E9" w:rsidP="005C255F" w:rsidRDefault="001153E9" w14:paraId="358B4D80" w14:textId="08F0AC9E">
          <w:pPr>
            <w:pStyle w:val="TOCHeading"/>
            <w:spacing w:after="0"/>
            <w:rPr>
              <w:sz w:val="32"/>
              <w:szCs w:val="32"/>
            </w:rPr>
          </w:pPr>
          <w:r>
            <w:rPr>
              <w:sz w:val="32"/>
            </w:rPr>
            <w:t>Contenu</w:t>
          </w:r>
        </w:p>
        <w:p w:rsidR="00F505A7" w:rsidP="005C255F" w:rsidRDefault="001153E9" w14:paraId="2FD3D741" w14:textId="6E0015F8">
          <w:pPr>
            <w:pStyle w:val="TOC1"/>
            <w:spacing w:line="240" w:lineRule="auto"/>
          </w:pPr>
          <w:r w:rsidRPr="00E77A77">
            <w:rPr>
              <w:b w:val="0"/>
              <w:color w:val="2B579A"/>
              <w:shd w:val="clear" w:color="auto" w:fill="E6E6E6"/>
            </w:rPr>
            <w:fldChar w:fldCharType="begin"/>
          </w:r>
          <w:r w:rsidRPr="00E77A77">
            <w:rPr>
              <w:b w:val="0"/>
            </w:rPr>
            <w:instrText xml:space="preserve"> TOC \o "1-3" \h \z \u </w:instrText>
          </w:r>
          <w:r w:rsidRPr="00E77A77">
            <w:rPr>
              <w:b w:val="0"/>
              <w:color w:val="2B579A"/>
              <w:shd w:val="clear" w:color="auto" w:fill="E6E6E6"/>
            </w:rPr>
            <w:fldChar w:fldCharType="separate"/>
          </w:r>
        </w:p>
        <w:p w:rsidRPr="00F505A7" w:rsidR="00F505A7" w:rsidP="005C255F" w:rsidRDefault="008E3CB1" w14:paraId="6CF59BF9" w14:textId="4F00832D">
          <w:pPr>
            <w:pStyle w:val="TOC1"/>
            <w:spacing w:line="240" w:lineRule="auto"/>
            <w:rPr>
              <w:rFonts w:asciiTheme="minorHAnsi" w:hAnsiTheme="minorHAnsi" w:cstheme="minorBidi"/>
              <w:b w:val="0"/>
            </w:rPr>
          </w:pPr>
          <w:hyperlink w:history="1" w:anchor="_Toc148097429">
            <w:r w:rsidRPr="00F505A7" w:rsidR="00F505A7">
              <w:rPr>
                <w:rStyle w:val="Hyperlink"/>
                <w:b w:val="0"/>
                <w:color w:val="000000" w:themeColor="text1"/>
              </w:rPr>
              <w:t>1.</w:t>
            </w:r>
            <w:r w:rsidRPr="00F505A7" w:rsidR="00F505A7">
              <w:rPr>
                <w:rFonts w:asciiTheme="minorHAnsi" w:hAnsiTheme="minorHAnsi" w:cstheme="minorBidi"/>
                <w:b w:val="0"/>
              </w:rPr>
              <w:tab/>
            </w:r>
            <w:r w:rsidRPr="00F505A7" w:rsidR="00F505A7">
              <w:rPr>
                <w:rStyle w:val="Hyperlink"/>
                <w:b w:val="0"/>
                <w:color w:val="000000" w:themeColor="text1"/>
              </w:rPr>
              <w:t>Introduction</w:t>
            </w:r>
            <w:r w:rsidRPr="00F505A7" w:rsidR="00F505A7">
              <w:rPr>
                <w:b w:val="0"/>
                <w:webHidden/>
              </w:rPr>
              <w:tab/>
            </w:r>
            <w:r w:rsidRPr="00F505A7" w:rsidR="00F505A7">
              <w:rPr>
                <w:b w:val="0"/>
                <w:webHidden/>
              </w:rPr>
              <w:fldChar w:fldCharType="begin"/>
            </w:r>
            <w:r w:rsidRPr="00F505A7" w:rsidR="00F505A7">
              <w:rPr>
                <w:b w:val="0"/>
                <w:webHidden/>
              </w:rPr>
              <w:instrText xml:space="preserve"> PAGEREF _Toc148097429 \h </w:instrText>
            </w:r>
            <w:r w:rsidRPr="00F505A7" w:rsidR="00F505A7">
              <w:rPr>
                <w:b w:val="0"/>
                <w:webHidden/>
              </w:rPr>
            </w:r>
            <w:r w:rsidRPr="00F505A7" w:rsidR="00F505A7">
              <w:rPr>
                <w:b w:val="0"/>
                <w:webHidden/>
              </w:rPr>
              <w:fldChar w:fldCharType="separate"/>
            </w:r>
            <w:r w:rsidR="00A35C4D">
              <w:rPr>
                <w:b w:val="0"/>
                <w:webHidden/>
              </w:rPr>
              <w:t>3</w:t>
            </w:r>
            <w:r w:rsidRPr="00F505A7" w:rsidR="00F505A7">
              <w:rPr>
                <w:b w:val="0"/>
                <w:webHidden/>
              </w:rPr>
              <w:fldChar w:fldCharType="end"/>
            </w:r>
          </w:hyperlink>
        </w:p>
        <w:p w:rsidRPr="00F505A7" w:rsidR="00F505A7" w:rsidP="005C255F" w:rsidRDefault="008E3CB1" w14:paraId="256D849D" w14:textId="6DD650BA">
          <w:pPr>
            <w:pStyle w:val="TOC2"/>
            <w:spacing w:line="240" w:lineRule="auto"/>
            <w:rPr>
              <w:rFonts w:asciiTheme="minorHAnsi" w:hAnsiTheme="minorHAnsi" w:cstheme="minorBidi"/>
            </w:rPr>
          </w:pPr>
          <w:hyperlink w:history="1" w:anchor="_Toc148097430">
            <w:r w:rsidRPr="00F505A7" w:rsidR="00F505A7">
              <w:rPr>
                <w:rStyle w:val="Hyperlink"/>
                <w:b w:val="0"/>
                <w:color w:val="000000" w:themeColor="text1"/>
              </w:rPr>
              <w:t xml:space="preserve">1.1 </w:t>
            </w:r>
            <w:r w:rsidR="00A35C4D">
              <w:rPr>
                <w:rStyle w:val="Hyperlink"/>
                <w:b w:val="0"/>
                <w:color w:val="000000" w:themeColor="text1"/>
              </w:rPr>
              <w:t>Description des marchés publics</w:t>
            </w:r>
            <w:r w:rsidRPr="00F505A7" w:rsidR="00F505A7">
              <w:rPr>
                <w:webHidden/>
              </w:rPr>
              <w:tab/>
            </w:r>
            <w:r w:rsidRPr="00F505A7" w:rsidR="00F505A7">
              <w:rPr>
                <w:webHidden/>
              </w:rPr>
              <w:fldChar w:fldCharType="begin"/>
            </w:r>
            <w:r w:rsidRPr="00F505A7" w:rsidR="00F505A7">
              <w:rPr>
                <w:webHidden/>
              </w:rPr>
              <w:instrText xml:space="preserve"> PAGEREF _Toc148097430 \h </w:instrText>
            </w:r>
            <w:r w:rsidRPr="00F505A7" w:rsidR="00F505A7">
              <w:rPr>
                <w:webHidden/>
              </w:rPr>
            </w:r>
            <w:r w:rsidRPr="00F505A7" w:rsidR="00F505A7">
              <w:rPr>
                <w:webHidden/>
              </w:rPr>
              <w:fldChar w:fldCharType="separate"/>
            </w:r>
            <w:r w:rsidR="00A35C4D">
              <w:rPr>
                <w:webHidden/>
              </w:rPr>
              <w:t>4</w:t>
            </w:r>
            <w:r w:rsidRPr="00F505A7" w:rsidR="00F505A7">
              <w:rPr>
                <w:webHidden/>
              </w:rPr>
              <w:fldChar w:fldCharType="end"/>
            </w:r>
          </w:hyperlink>
        </w:p>
        <w:p w:rsidRPr="00F505A7" w:rsidR="00F505A7" w:rsidP="005C255F" w:rsidRDefault="008E3CB1" w14:paraId="758536E6" w14:textId="7F7BFF6D">
          <w:pPr>
            <w:pStyle w:val="TOC2"/>
            <w:spacing w:line="240" w:lineRule="auto"/>
            <w:rPr>
              <w:rFonts w:asciiTheme="minorHAnsi" w:hAnsiTheme="minorHAnsi" w:cstheme="minorBidi"/>
            </w:rPr>
          </w:pPr>
          <w:hyperlink w:history="1" w:anchor="_Toc148097431">
            <w:r w:rsidRPr="00F505A7" w:rsidR="00F505A7">
              <w:rPr>
                <w:rStyle w:val="Hyperlink"/>
                <w:b w:val="0"/>
                <w:color w:val="000000" w:themeColor="text1"/>
              </w:rPr>
              <w:t>1.2</w:t>
            </w:r>
            <w:r w:rsidRPr="00F505A7" w:rsidR="00F505A7">
              <w:rPr>
                <w:rFonts w:asciiTheme="minorHAnsi" w:hAnsiTheme="minorHAnsi" w:cstheme="minorBidi"/>
              </w:rPr>
              <w:tab/>
            </w:r>
            <w:r w:rsidR="00A35C4D">
              <w:rPr>
                <w:rStyle w:val="Hyperlink"/>
                <w:b w:val="0"/>
                <w:color w:val="000000" w:themeColor="text1"/>
              </w:rPr>
              <w:t xml:space="preserve"> Aperçu des services de suivi, d’évaluation et de recherches souhaités</w:t>
            </w:r>
            <w:r w:rsidRPr="00F505A7" w:rsidR="00F505A7">
              <w:rPr>
                <w:webHidden/>
              </w:rPr>
              <w:tab/>
            </w:r>
            <w:r w:rsidRPr="00F505A7" w:rsidR="00F505A7">
              <w:rPr>
                <w:webHidden/>
              </w:rPr>
              <w:fldChar w:fldCharType="begin"/>
            </w:r>
            <w:r w:rsidRPr="00F505A7" w:rsidR="00F505A7">
              <w:rPr>
                <w:webHidden/>
              </w:rPr>
              <w:instrText xml:space="preserve"> PAGEREF _Toc148097431 \h </w:instrText>
            </w:r>
            <w:r w:rsidRPr="00F505A7" w:rsidR="00F505A7">
              <w:rPr>
                <w:webHidden/>
              </w:rPr>
            </w:r>
            <w:r w:rsidRPr="00F505A7" w:rsidR="00F505A7">
              <w:rPr>
                <w:webHidden/>
              </w:rPr>
              <w:fldChar w:fldCharType="separate"/>
            </w:r>
            <w:r w:rsidR="00A35C4D">
              <w:rPr>
                <w:webHidden/>
              </w:rPr>
              <w:t>4</w:t>
            </w:r>
            <w:r w:rsidRPr="00F505A7" w:rsidR="00F505A7">
              <w:rPr>
                <w:webHidden/>
              </w:rPr>
              <w:fldChar w:fldCharType="end"/>
            </w:r>
          </w:hyperlink>
        </w:p>
        <w:p w:rsidRPr="00F505A7" w:rsidR="00F505A7" w:rsidP="005C255F" w:rsidRDefault="008E3CB1" w14:paraId="12981AC8" w14:textId="53030756">
          <w:pPr>
            <w:pStyle w:val="TOC1"/>
            <w:spacing w:line="240" w:lineRule="auto"/>
            <w:rPr>
              <w:rFonts w:asciiTheme="minorHAnsi" w:hAnsiTheme="minorHAnsi" w:cstheme="minorBidi"/>
              <w:b w:val="0"/>
            </w:rPr>
          </w:pPr>
          <w:hyperlink w:history="1" w:anchor="_Toc148097432">
            <w:r w:rsidRPr="00F505A7" w:rsidR="00F505A7">
              <w:rPr>
                <w:rStyle w:val="Hyperlink"/>
                <w:b w:val="0"/>
                <w:color w:val="000000" w:themeColor="text1"/>
              </w:rPr>
              <w:t>2.</w:t>
            </w:r>
            <w:r w:rsidR="00A35C4D">
              <w:rPr>
                <w:rStyle w:val="Hyperlink"/>
                <w:b w:val="0"/>
                <w:color w:val="000000" w:themeColor="text1"/>
              </w:rPr>
              <w:t>Instructions relatives à l’appel d’offres</w:t>
            </w:r>
            <w:r w:rsidRPr="00F505A7" w:rsidR="00F505A7">
              <w:rPr>
                <w:b w:val="0"/>
                <w:webHidden/>
              </w:rPr>
              <w:tab/>
            </w:r>
            <w:r w:rsidRPr="00F505A7" w:rsidR="00F505A7">
              <w:rPr>
                <w:b w:val="0"/>
                <w:webHidden/>
              </w:rPr>
              <w:fldChar w:fldCharType="begin"/>
            </w:r>
            <w:r w:rsidRPr="00F505A7" w:rsidR="00F505A7">
              <w:rPr>
                <w:b w:val="0"/>
                <w:webHidden/>
              </w:rPr>
              <w:instrText xml:space="preserve"> PAGEREF _Toc148097432 \h </w:instrText>
            </w:r>
            <w:r w:rsidRPr="00F505A7" w:rsidR="00F505A7">
              <w:rPr>
                <w:b w:val="0"/>
                <w:webHidden/>
              </w:rPr>
            </w:r>
            <w:r w:rsidRPr="00F505A7" w:rsidR="00F505A7">
              <w:rPr>
                <w:b w:val="0"/>
                <w:webHidden/>
              </w:rPr>
              <w:fldChar w:fldCharType="separate"/>
            </w:r>
            <w:r w:rsidR="00A35C4D">
              <w:rPr>
                <w:b w:val="0"/>
                <w:webHidden/>
              </w:rPr>
              <w:t>7</w:t>
            </w:r>
            <w:r w:rsidRPr="00F505A7" w:rsidR="00F505A7">
              <w:rPr>
                <w:b w:val="0"/>
                <w:webHidden/>
              </w:rPr>
              <w:fldChar w:fldCharType="end"/>
            </w:r>
          </w:hyperlink>
        </w:p>
        <w:p w:rsidRPr="00F505A7" w:rsidR="00F505A7" w:rsidP="005C255F" w:rsidRDefault="008E3CB1" w14:paraId="70481CA1" w14:textId="246721C9">
          <w:pPr>
            <w:pStyle w:val="TOC2"/>
            <w:spacing w:line="240" w:lineRule="auto"/>
            <w:rPr>
              <w:rFonts w:asciiTheme="minorHAnsi" w:hAnsiTheme="minorHAnsi" w:cstheme="minorBidi"/>
            </w:rPr>
          </w:pPr>
          <w:hyperlink w:history="1" w:anchor="_Toc148097433">
            <w:r w:rsidRPr="00F505A7" w:rsidR="00F505A7">
              <w:rPr>
                <w:rStyle w:val="Hyperlink"/>
                <w:b w:val="0"/>
                <w:color w:val="000000" w:themeColor="text1"/>
              </w:rPr>
              <w:t>2.1</w:t>
            </w:r>
            <w:r w:rsidR="00E32F2D">
              <w:rPr>
                <w:rStyle w:val="Hyperlink"/>
                <w:b w:val="0"/>
                <w:color w:val="000000" w:themeColor="text1"/>
              </w:rPr>
              <w:t xml:space="preserve"> </w:t>
            </w:r>
            <w:r w:rsidR="00A35C4D">
              <w:rPr>
                <w:rStyle w:val="Hyperlink"/>
                <w:b w:val="0"/>
                <w:color w:val="000000" w:themeColor="text1"/>
              </w:rPr>
              <w:t>Calendrier</w:t>
            </w:r>
            <w:r w:rsidRPr="00F505A7" w:rsidR="00F505A7">
              <w:rPr>
                <w:webHidden/>
              </w:rPr>
              <w:tab/>
            </w:r>
            <w:r w:rsidRPr="00F505A7" w:rsidR="00F505A7">
              <w:rPr>
                <w:webHidden/>
              </w:rPr>
              <w:fldChar w:fldCharType="begin"/>
            </w:r>
            <w:r w:rsidRPr="00F505A7" w:rsidR="00F505A7">
              <w:rPr>
                <w:webHidden/>
              </w:rPr>
              <w:instrText xml:space="preserve"> PAGEREF _Toc148097433 \h </w:instrText>
            </w:r>
            <w:r w:rsidRPr="00F505A7" w:rsidR="00F505A7">
              <w:rPr>
                <w:webHidden/>
              </w:rPr>
            </w:r>
            <w:r w:rsidRPr="00F505A7" w:rsidR="00F505A7">
              <w:rPr>
                <w:webHidden/>
              </w:rPr>
              <w:fldChar w:fldCharType="separate"/>
            </w:r>
            <w:r w:rsidR="00A35C4D">
              <w:rPr>
                <w:webHidden/>
              </w:rPr>
              <w:t>7</w:t>
            </w:r>
            <w:r w:rsidRPr="00F505A7" w:rsidR="00F505A7">
              <w:rPr>
                <w:webHidden/>
              </w:rPr>
              <w:fldChar w:fldCharType="end"/>
            </w:r>
          </w:hyperlink>
        </w:p>
        <w:p w:rsidRPr="00F505A7" w:rsidR="00F505A7" w:rsidP="005C255F" w:rsidRDefault="008E3CB1" w14:paraId="197F529D" w14:textId="2387DF4F">
          <w:pPr>
            <w:pStyle w:val="TOC2"/>
            <w:spacing w:line="240" w:lineRule="auto"/>
            <w:rPr>
              <w:rFonts w:asciiTheme="minorHAnsi" w:hAnsiTheme="minorHAnsi" w:cstheme="minorBidi"/>
            </w:rPr>
          </w:pPr>
          <w:hyperlink w:history="1" w:anchor="_Toc148097434">
            <w:r w:rsidRPr="00F505A7" w:rsidR="00F505A7">
              <w:rPr>
                <w:rStyle w:val="Hyperlink"/>
                <w:b w:val="0"/>
                <w:color w:val="000000" w:themeColor="text1"/>
              </w:rPr>
              <w:t>2.2</w:t>
            </w:r>
            <w:r w:rsidR="00E32F2D">
              <w:rPr>
                <w:rStyle w:val="Hyperlink"/>
                <w:b w:val="0"/>
                <w:color w:val="000000" w:themeColor="text1"/>
              </w:rPr>
              <w:t xml:space="preserve"> </w:t>
            </w:r>
            <w:r w:rsidRPr="00E32F2D" w:rsidR="00A35C4D">
              <w:rPr>
                <w:rStyle w:val="Hyperlink"/>
                <w:b w:val="0"/>
                <w:iCs/>
                <w:color w:val="000000" w:themeColor="text1"/>
              </w:rPr>
              <w:t>Exigences en matière de soumission et format</w:t>
            </w:r>
            <w:r w:rsidRPr="00F505A7" w:rsidR="00F505A7">
              <w:rPr>
                <w:webHidden/>
              </w:rPr>
              <w:tab/>
            </w:r>
            <w:r w:rsidRPr="00F505A7" w:rsidR="00F505A7">
              <w:rPr>
                <w:webHidden/>
              </w:rPr>
              <w:fldChar w:fldCharType="begin"/>
            </w:r>
            <w:r w:rsidRPr="00F505A7" w:rsidR="00F505A7">
              <w:rPr>
                <w:webHidden/>
              </w:rPr>
              <w:instrText xml:space="preserve"> PAGEREF _Toc148097434 \h </w:instrText>
            </w:r>
            <w:r w:rsidRPr="00F505A7" w:rsidR="00F505A7">
              <w:rPr>
                <w:webHidden/>
              </w:rPr>
            </w:r>
            <w:r w:rsidRPr="00F505A7" w:rsidR="00F505A7">
              <w:rPr>
                <w:webHidden/>
              </w:rPr>
              <w:fldChar w:fldCharType="separate"/>
            </w:r>
            <w:r w:rsidR="00A35C4D">
              <w:rPr>
                <w:webHidden/>
              </w:rPr>
              <w:t>7</w:t>
            </w:r>
            <w:r w:rsidRPr="00F505A7" w:rsidR="00F505A7">
              <w:rPr>
                <w:webHidden/>
              </w:rPr>
              <w:fldChar w:fldCharType="end"/>
            </w:r>
          </w:hyperlink>
        </w:p>
        <w:p w:rsidRPr="00F505A7" w:rsidR="00F505A7" w:rsidP="005C255F" w:rsidRDefault="008E3CB1" w14:paraId="449109E8" w14:textId="000754C7">
          <w:pPr>
            <w:pStyle w:val="TOC2"/>
            <w:spacing w:line="240" w:lineRule="auto"/>
            <w:rPr>
              <w:rFonts w:asciiTheme="minorHAnsi" w:hAnsiTheme="minorHAnsi" w:cstheme="minorBidi"/>
            </w:rPr>
          </w:pPr>
          <w:hyperlink w:history="1" w:anchor="_Toc148097435">
            <w:r w:rsidRPr="00F505A7" w:rsidR="00F505A7">
              <w:rPr>
                <w:rStyle w:val="Hyperlink"/>
                <w:b w:val="0"/>
                <w:color w:val="000000" w:themeColor="text1"/>
              </w:rPr>
              <w:t>2.3</w:t>
            </w:r>
            <w:r w:rsidR="00E32F2D">
              <w:rPr>
                <w:rStyle w:val="Hyperlink"/>
                <w:b w:val="0"/>
                <w:color w:val="000000" w:themeColor="text1"/>
              </w:rPr>
              <w:t xml:space="preserve"> </w:t>
            </w:r>
            <w:r w:rsidR="00A35C4D">
              <w:rPr>
                <w:rStyle w:val="Hyperlink"/>
                <w:b w:val="0"/>
                <w:color w:val="000000" w:themeColor="text1"/>
              </w:rPr>
              <w:t>Précisions</w:t>
            </w:r>
            <w:r w:rsidRPr="00F505A7" w:rsidR="00F505A7">
              <w:rPr>
                <w:webHidden/>
              </w:rPr>
              <w:tab/>
            </w:r>
            <w:r w:rsidRPr="00F505A7" w:rsidR="00F505A7">
              <w:rPr>
                <w:webHidden/>
              </w:rPr>
              <w:fldChar w:fldCharType="begin"/>
            </w:r>
            <w:r w:rsidRPr="00F505A7" w:rsidR="00F505A7">
              <w:rPr>
                <w:webHidden/>
              </w:rPr>
              <w:instrText xml:space="preserve"> PAGEREF _Toc148097435 \h </w:instrText>
            </w:r>
            <w:r w:rsidRPr="00F505A7" w:rsidR="00F505A7">
              <w:rPr>
                <w:webHidden/>
              </w:rPr>
            </w:r>
            <w:r w:rsidRPr="00F505A7" w:rsidR="00F505A7">
              <w:rPr>
                <w:webHidden/>
              </w:rPr>
              <w:fldChar w:fldCharType="separate"/>
            </w:r>
            <w:r w:rsidR="00A35C4D">
              <w:rPr>
                <w:webHidden/>
              </w:rPr>
              <w:t>8</w:t>
            </w:r>
            <w:r w:rsidRPr="00F505A7" w:rsidR="00F505A7">
              <w:rPr>
                <w:webHidden/>
              </w:rPr>
              <w:fldChar w:fldCharType="end"/>
            </w:r>
          </w:hyperlink>
        </w:p>
        <w:p w:rsidRPr="00F505A7" w:rsidR="00F505A7" w:rsidP="005C255F" w:rsidRDefault="008E3CB1" w14:paraId="0B35DDF4" w14:textId="344BF996">
          <w:pPr>
            <w:pStyle w:val="TOC2"/>
            <w:spacing w:line="240" w:lineRule="auto"/>
            <w:rPr>
              <w:rFonts w:asciiTheme="minorHAnsi" w:hAnsiTheme="minorHAnsi" w:cstheme="minorBidi"/>
            </w:rPr>
          </w:pPr>
          <w:hyperlink w:history="1" w:anchor="_Toc148097436">
            <w:r w:rsidRPr="00F505A7" w:rsidR="00F505A7">
              <w:rPr>
                <w:rStyle w:val="Hyperlink"/>
                <w:b w:val="0"/>
                <w:color w:val="000000" w:themeColor="text1"/>
              </w:rPr>
              <w:t>2.4</w:t>
            </w:r>
            <w:r w:rsidR="00E32F2D">
              <w:rPr>
                <w:rStyle w:val="Hyperlink"/>
                <w:b w:val="0"/>
                <w:color w:val="000000" w:themeColor="text1"/>
              </w:rPr>
              <w:t xml:space="preserve"> </w:t>
            </w:r>
            <w:r w:rsidR="00CD3EDD">
              <w:rPr>
                <w:rStyle w:val="Hyperlink"/>
                <w:b w:val="0"/>
                <w:color w:val="000000" w:themeColor="text1"/>
              </w:rPr>
              <w:t>Acceptation d’une réponse positive</w:t>
            </w:r>
            <w:r w:rsidRPr="00F505A7" w:rsidR="00F505A7">
              <w:rPr>
                <w:webHidden/>
              </w:rPr>
              <w:tab/>
            </w:r>
            <w:r w:rsidRPr="00F505A7" w:rsidR="00F505A7">
              <w:rPr>
                <w:webHidden/>
              </w:rPr>
              <w:fldChar w:fldCharType="begin"/>
            </w:r>
            <w:r w:rsidRPr="00F505A7" w:rsidR="00F505A7">
              <w:rPr>
                <w:webHidden/>
              </w:rPr>
              <w:instrText xml:space="preserve"> PAGEREF _Toc148097436 \h </w:instrText>
            </w:r>
            <w:r w:rsidRPr="00F505A7" w:rsidR="00F505A7">
              <w:rPr>
                <w:webHidden/>
              </w:rPr>
            </w:r>
            <w:r w:rsidRPr="00F505A7" w:rsidR="00F505A7">
              <w:rPr>
                <w:webHidden/>
              </w:rPr>
              <w:fldChar w:fldCharType="separate"/>
            </w:r>
            <w:r w:rsidR="00A35C4D">
              <w:rPr>
                <w:webHidden/>
              </w:rPr>
              <w:t>8</w:t>
            </w:r>
            <w:r w:rsidRPr="00F505A7" w:rsidR="00F505A7">
              <w:rPr>
                <w:webHidden/>
              </w:rPr>
              <w:fldChar w:fldCharType="end"/>
            </w:r>
          </w:hyperlink>
        </w:p>
        <w:p w:rsidRPr="00F505A7" w:rsidR="00F505A7" w:rsidP="005C255F" w:rsidRDefault="008E3CB1" w14:paraId="2C9096DC" w14:textId="3891070D">
          <w:pPr>
            <w:pStyle w:val="TOC2"/>
            <w:spacing w:line="240" w:lineRule="auto"/>
            <w:rPr>
              <w:rFonts w:asciiTheme="minorHAnsi" w:hAnsiTheme="minorHAnsi" w:cstheme="minorBidi"/>
            </w:rPr>
          </w:pPr>
          <w:hyperlink w:history="1" w:anchor="_Toc148097437">
            <w:r w:rsidRPr="00F505A7" w:rsidR="00F505A7">
              <w:rPr>
                <w:rStyle w:val="Hyperlink"/>
                <w:b w:val="0"/>
                <w:color w:val="000000" w:themeColor="text1"/>
              </w:rPr>
              <w:t>2.5 Performance</w:t>
            </w:r>
            <w:r w:rsidR="00CD3EDD">
              <w:rPr>
                <w:rStyle w:val="Hyperlink"/>
                <w:b w:val="0"/>
                <w:color w:val="000000" w:themeColor="text1"/>
              </w:rPr>
              <w:t>s passées</w:t>
            </w:r>
            <w:r w:rsidRPr="00F505A7" w:rsidR="00F505A7">
              <w:rPr>
                <w:webHidden/>
              </w:rPr>
              <w:tab/>
            </w:r>
            <w:r w:rsidRPr="00F505A7" w:rsidR="00F505A7">
              <w:rPr>
                <w:webHidden/>
              </w:rPr>
              <w:fldChar w:fldCharType="begin"/>
            </w:r>
            <w:r w:rsidRPr="00F505A7" w:rsidR="00F505A7">
              <w:rPr>
                <w:webHidden/>
              </w:rPr>
              <w:instrText xml:space="preserve"> PAGEREF _Toc148097437 \h </w:instrText>
            </w:r>
            <w:r w:rsidRPr="00F505A7" w:rsidR="00F505A7">
              <w:rPr>
                <w:webHidden/>
              </w:rPr>
            </w:r>
            <w:r w:rsidRPr="00F505A7" w:rsidR="00F505A7">
              <w:rPr>
                <w:webHidden/>
              </w:rPr>
              <w:fldChar w:fldCharType="separate"/>
            </w:r>
            <w:r w:rsidR="00A35C4D">
              <w:rPr>
                <w:webHidden/>
              </w:rPr>
              <w:t>8</w:t>
            </w:r>
            <w:r w:rsidRPr="00F505A7" w:rsidR="00F505A7">
              <w:rPr>
                <w:webHidden/>
              </w:rPr>
              <w:fldChar w:fldCharType="end"/>
            </w:r>
          </w:hyperlink>
        </w:p>
        <w:p w:rsidRPr="00F505A7" w:rsidR="00F505A7" w:rsidP="005C255F" w:rsidRDefault="008E3CB1" w14:paraId="41F838C2" w14:textId="2EC862CD">
          <w:pPr>
            <w:pStyle w:val="TOC1"/>
            <w:spacing w:line="240" w:lineRule="auto"/>
            <w:rPr>
              <w:rFonts w:asciiTheme="minorHAnsi" w:hAnsiTheme="minorHAnsi" w:cstheme="minorBidi"/>
              <w:b w:val="0"/>
            </w:rPr>
          </w:pPr>
          <w:hyperlink w:history="1" w:anchor="_Toc148097438">
            <w:r w:rsidRPr="00F505A7" w:rsidR="00F505A7">
              <w:rPr>
                <w:rStyle w:val="Hyperlink"/>
                <w:b w:val="0"/>
                <w:color w:val="000000" w:themeColor="text1"/>
              </w:rPr>
              <w:t>3.</w:t>
            </w:r>
            <w:r w:rsidR="00CD3EDD">
              <w:rPr>
                <w:rStyle w:val="Hyperlink"/>
                <w:b w:val="0"/>
                <w:color w:val="000000" w:themeColor="text1"/>
              </w:rPr>
              <w:t>Critères d’éligibilité et exigences en matière de soumission</w:t>
            </w:r>
            <w:r w:rsidRPr="00F505A7" w:rsidR="00F505A7">
              <w:rPr>
                <w:b w:val="0"/>
                <w:webHidden/>
              </w:rPr>
              <w:tab/>
            </w:r>
            <w:r w:rsidRPr="00F505A7" w:rsidR="00F505A7">
              <w:rPr>
                <w:b w:val="0"/>
                <w:webHidden/>
              </w:rPr>
              <w:fldChar w:fldCharType="begin"/>
            </w:r>
            <w:r w:rsidRPr="00F505A7" w:rsidR="00F505A7">
              <w:rPr>
                <w:b w:val="0"/>
                <w:webHidden/>
              </w:rPr>
              <w:instrText xml:space="preserve"> PAGEREF _Toc148097438 \h </w:instrText>
            </w:r>
            <w:r w:rsidRPr="00F505A7" w:rsidR="00F505A7">
              <w:rPr>
                <w:b w:val="0"/>
                <w:webHidden/>
              </w:rPr>
            </w:r>
            <w:r w:rsidRPr="00F505A7" w:rsidR="00F505A7">
              <w:rPr>
                <w:b w:val="0"/>
                <w:webHidden/>
              </w:rPr>
              <w:fldChar w:fldCharType="separate"/>
            </w:r>
            <w:r w:rsidR="00A35C4D">
              <w:rPr>
                <w:b w:val="0"/>
                <w:webHidden/>
              </w:rPr>
              <w:t>8</w:t>
            </w:r>
            <w:r w:rsidRPr="00F505A7" w:rsidR="00F505A7">
              <w:rPr>
                <w:b w:val="0"/>
                <w:webHidden/>
              </w:rPr>
              <w:fldChar w:fldCharType="end"/>
            </w:r>
          </w:hyperlink>
        </w:p>
        <w:p w:rsidRPr="00F505A7" w:rsidR="00F505A7" w:rsidP="005C255F" w:rsidRDefault="008E3CB1" w14:paraId="6AA64536" w14:textId="1EE66FD4">
          <w:pPr>
            <w:pStyle w:val="TOC2"/>
            <w:spacing w:line="240" w:lineRule="auto"/>
            <w:rPr>
              <w:rFonts w:asciiTheme="minorHAnsi" w:hAnsiTheme="minorHAnsi" w:cstheme="minorBidi"/>
            </w:rPr>
          </w:pPr>
          <w:hyperlink w:history="1" w:anchor="_Toc148097439">
            <w:r w:rsidRPr="00F505A7" w:rsidR="00F505A7">
              <w:rPr>
                <w:rStyle w:val="Hyperlink"/>
                <w:b w:val="0"/>
                <w:color w:val="000000" w:themeColor="text1"/>
              </w:rPr>
              <w:t xml:space="preserve">3.1 </w:t>
            </w:r>
            <w:r w:rsidR="00CD3EDD">
              <w:rPr>
                <w:rStyle w:val="Hyperlink"/>
                <w:rFonts w:ascii="Calibri" w:hAnsi="Calibri" w:cs="Calibri"/>
                <w:b w:val="0"/>
                <w:color w:val="000000" w:themeColor="text1"/>
              </w:rPr>
              <w:t>É</w:t>
            </w:r>
            <w:r w:rsidRPr="00F505A7" w:rsidR="00F505A7">
              <w:rPr>
                <w:rStyle w:val="Hyperlink"/>
                <w:b w:val="0"/>
                <w:color w:val="000000" w:themeColor="text1"/>
              </w:rPr>
              <w:t>ligibilit</w:t>
            </w:r>
            <w:r w:rsidR="00CD3EDD">
              <w:rPr>
                <w:rStyle w:val="Hyperlink"/>
                <w:b w:val="0"/>
                <w:color w:val="000000" w:themeColor="text1"/>
              </w:rPr>
              <w:t>é des fournisseurs</w:t>
            </w:r>
            <w:r w:rsidRPr="00F505A7" w:rsidR="00F505A7">
              <w:rPr>
                <w:rStyle w:val="Hyperlink"/>
                <w:b w:val="0"/>
                <w:color w:val="000000" w:themeColor="text1"/>
              </w:rPr>
              <w:t xml:space="preserve"> </w:t>
            </w:r>
            <w:r w:rsidRPr="00F505A7" w:rsidR="00F505A7">
              <w:rPr>
                <w:webHidden/>
              </w:rPr>
              <w:tab/>
            </w:r>
            <w:r w:rsidRPr="00F505A7" w:rsidR="00F505A7">
              <w:rPr>
                <w:webHidden/>
              </w:rPr>
              <w:fldChar w:fldCharType="begin"/>
            </w:r>
            <w:r w:rsidRPr="00F505A7" w:rsidR="00F505A7">
              <w:rPr>
                <w:webHidden/>
              </w:rPr>
              <w:instrText xml:space="preserve"> PAGEREF _Toc148097439 \h </w:instrText>
            </w:r>
            <w:r w:rsidRPr="00F505A7" w:rsidR="00F505A7">
              <w:rPr>
                <w:webHidden/>
              </w:rPr>
            </w:r>
            <w:r w:rsidRPr="00F505A7" w:rsidR="00F505A7">
              <w:rPr>
                <w:webHidden/>
              </w:rPr>
              <w:fldChar w:fldCharType="separate"/>
            </w:r>
            <w:r w:rsidR="00A35C4D">
              <w:rPr>
                <w:webHidden/>
              </w:rPr>
              <w:t>8</w:t>
            </w:r>
            <w:r w:rsidRPr="00F505A7" w:rsidR="00F505A7">
              <w:rPr>
                <w:webHidden/>
              </w:rPr>
              <w:fldChar w:fldCharType="end"/>
            </w:r>
          </w:hyperlink>
        </w:p>
        <w:p w:rsidRPr="00F505A7" w:rsidR="00F505A7" w:rsidP="005C255F" w:rsidRDefault="008E3CB1" w14:paraId="07BA278D" w14:textId="095CEC9D">
          <w:pPr>
            <w:pStyle w:val="TOC2"/>
            <w:spacing w:line="240" w:lineRule="auto"/>
            <w:rPr>
              <w:rFonts w:asciiTheme="minorHAnsi" w:hAnsiTheme="minorHAnsi" w:cstheme="minorBidi"/>
            </w:rPr>
          </w:pPr>
          <w:hyperlink w:history="1" w:anchor="_Toc148097440">
            <w:r w:rsidRPr="00F505A7" w:rsidR="00F505A7">
              <w:rPr>
                <w:rStyle w:val="Hyperlink"/>
                <w:b w:val="0"/>
                <w:color w:val="000000" w:themeColor="text1"/>
              </w:rPr>
              <w:t>3.2</w:t>
            </w:r>
            <w:r w:rsidR="00CD3EDD">
              <w:rPr>
                <w:rStyle w:val="Hyperlink"/>
                <w:b w:val="0"/>
                <w:color w:val="000000" w:themeColor="text1"/>
              </w:rPr>
              <w:t xml:space="preserve"> Déclaration de Mercy Corps sur la lutte contre les pots-de-vin et la corruption</w:t>
            </w:r>
            <w:r w:rsidRPr="00F505A7" w:rsidR="00F505A7">
              <w:rPr>
                <w:webHidden/>
              </w:rPr>
              <w:tab/>
            </w:r>
            <w:r w:rsidRPr="00F505A7" w:rsidR="00F505A7">
              <w:rPr>
                <w:webHidden/>
              </w:rPr>
              <w:fldChar w:fldCharType="begin"/>
            </w:r>
            <w:r w:rsidRPr="00F505A7" w:rsidR="00F505A7">
              <w:rPr>
                <w:webHidden/>
              </w:rPr>
              <w:instrText xml:space="preserve"> PAGEREF _Toc148097440 \h </w:instrText>
            </w:r>
            <w:r w:rsidRPr="00F505A7" w:rsidR="00F505A7">
              <w:rPr>
                <w:webHidden/>
              </w:rPr>
            </w:r>
            <w:r w:rsidRPr="00F505A7" w:rsidR="00F505A7">
              <w:rPr>
                <w:webHidden/>
              </w:rPr>
              <w:fldChar w:fldCharType="separate"/>
            </w:r>
            <w:r w:rsidR="00A35C4D">
              <w:rPr>
                <w:webHidden/>
              </w:rPr>
              <w:t>9</w:t>
            </w:r>
            <w:r w:rsidRPr="00F505A7" w:rsidR="00F505A7">
              <w:rPr>
                <w:webHidden/>
              </w:rPr>
              <w:fldChar w:fldCharType="end"/>
            </w:r>
          </w:hyperlink>
        </w:p>
        <w:p w:rsidRPr="00F505A7" w:rsidR="00F505A7" w:rsidP="005C255F" w:rsidRDefault="008E3CB1" w14:paraId="0B8BF42A" w14:textId="56941EAF">
          <w:pPr>
            <w:pStyle w:val="TOC2"/>
            <w:spacing w:line="240" w:lineRule="auto"/>
            <w:rPr>
              <w:rFonts w:asciiTheme="minorHAnsi" w:hAnsiTheme="minorHAnsi" w:cstheme="minorBidi"/>
            </w:rPr>
          </w:pPr>
          <w:hyperlink w:history="1" w:anchor="_Toc148097441">
            <w:r w:rsidRPr="00F505A7" w:rsidR="00F505A7">
              <w:rPr>
                <w:rStyle w:val="Hyperlink"/>
                <w:b w:val="0"/>
                <w:color w:val="000000" w:themeColor="text1"/>
              </w:rPr>
              <w:t>3.3 Certification</w:t>
            </w:r>
            <w:r w:rsidR="00CD3EDD">
              <w:rPr>
                <w:rStyle w:val="Hyperlink"/>
                <w:b w:val="0"/>
                <w:color w:val="000000" w:themeColor="text1"/>
              </w:rPr>
              <w:t>en matière de terrorisme</w:t>
            </w:r>
            <w:r w:rsidRPr="00F505A7" w:rsidR="00F505A7">
              <w:rPr>
                <w:webHidden/>
              </w:rPr>
              <w:tab/>
            </w:r>
            <w:r w:rsidRPr="00F505A7" w:rsidR="00F505A7">
              <w:rPr>
                <w:webHidden/>
              </w:rPr>
              <w:fldChar w:fldCharType="begin"/>
            </w:r>
            <w:r w:rsidRPr="00F505A7" w:rsidR="00F505A7">
              <w:rPr>
                <w:webHidden/>
              </w:rPr>
              <w:instrText xml:space="preserve"> PAGEREF _Toc148097441 \h </w:instrText>
            </w:r>
            <w:r w:rsidRPr="00F505A7" w:rsidR="00F505A7">
              <w:rPr>
                <w:webHidden/>
              </w:rPr>
            </w:r>
            <w:r w:rsidRPr="00F505A7" w:rsidR="00F505A7">
              <w:rPr>
                <w:webHidden/>
              </w:rPr>
              <w:fldChar w:fldCharType="separate"/>
            </w:r>
            <w:r w:rsidR="00A35C4D">
              <w:rPr>
                <w:webHidden/>
              </w:rPr>
              <w:t>10</w:t>
            </w:r>
            <w:r w:rsidRPr="00F505A7" w:rsidR="00F505A7">
              <w:rPr>
                <w:webHidden/>
              </w:rPr>
              <w:fldChar w:fldCharType="end"/>
            </w:r>
          </w:hyperlink>
        </w:p>
        <w:p w:rsidRPr="00F505A7" w:rsidR="00F505A7" w:rsidP="005C255F" w:rsidRDefault="008E3CB1" w14:paraId="13229B9E" w14:textId="0B69FBAA">
          <w:pPr>
            <w:pStyle w:val="TOC2"/>
            <w:spacing w:line="240" w:lineRule="auto"/>
            <w:rPr>
              <w:rFonts w:asciiTheme="minorHAnsi" w:hAnsiTheme="minorHAnsi" w:cstheme="minorBidi"/>
            </w:rPr>
          </w:pPr>
          <w:hyperlink w:history="1" w:anchor="_Toc148097442">
            <w:r w:rsidRPr="00F505A7" w:rsidR="00F505A7">
              <w:rPr>
                <w:rStyle w:val="Hyperlink"/>
                <w:b w:val="0"/>
                <w:color w:val="000000" w:themeColor="text1"/>
              </w:rPr>
              <w:t>3.4 Conten</w:t>
            </w:r>
            <w:r w:rsidR="00CD3EDD">
              <w:rPr>
                <w:rStyle w:val="Hyperlink"/>
                <w:b w:val="0"/>
                <w:color w:val="000000" w:themeColor="text1"/>
              </w:rPr>
              <w:t>u</w:t>
            </w:r>
            <w:r w:rsidRPr="00F505A7" w:rsidR="00F505A7">
              <w:rPr>
                <w:webHidden/>
              </w:rPr>
              <w:tab/>
            </w:r>
            <w:r w:rsidRPr="00F505A7" w:rsidR="00F505A7">
              <w:rPr>
                <w:webHidden/>
              </w:rPr>
              <w:fldChar w:fldCharType="begin"/>
            </w:r>
            <w:r w:rsidRPr="00F505A7" w:rsidR="00F505A7">
              <w:rPr>
                <w:webHidden/>
              </w:rPr>
              <w:instrText xml:space="preserve"> PAGEREF _Toc148097442 \h </w:instrText>
            </w:r>
            <w:r w:rsidRPr="00F505A7" w:rsidR="00F505A7">
              <w:rPr>
                <w:webHidden/>
              </w:rPr>
            </w:r>
            <w:r w:rsidRPr="00F505A7" w:rsidR="00F505A7">
              <w:rPr>
                <w:webHidden/>
              </w:rPr>
              <w:fldChar w:fldCharType="separate"/>
            </w:r>
            <w:r w:rsidR="00A35C4D">
              <w:rPr>
                <w:webHidden/>
              </w:rPr>
              <w:t>10</w:t>
            </w:r>
            <w:r w:rsidRPr="00F505A7" w:rsidR="00F505A7">
              <w:rPr>
                <w:webHidden/>
              </w:rPr>
              <w:fldChar w:fldCharType="end"/>
            </w:r>
          </w:hyperlink>
        </w:p>
        <w:p w:rsidRPr="00F505A7" w:rsidR="00F505A7" w:rsidP="005C255F" w:rsidRDefault="008E3CB1" w14:paraId="31B8C442" w14:textId="61B2B82C">
          <w:pPr>
            <w:pStyle w:val="TOC2"/>
            <w:spacing w:line="240" w:lineRule="auto"/>
            <w:rPr>
              <w:rFonts w:asciiTheme="minorHAnsi" w:hAnsiTheme="minorHAnsi" w:cstheme="minorBidi"/>
            </w:rPr>
          </w:pPr>
          <w:hyperlink w:history="1" w:anchor="_Toc148097443">
            <w:r w:rsidRPr="00F505A7" w:rsidR="00F505A7">
              <w:rPr>
                <w:rStyle w:val="Hyperlink"/>
                <w:b w:val="0"/>
                <w:color w:val="000000" w:themeColor="text1"/>
              </w:rPr>
              <w:t>3.5</w:t>
            </w:r>
            <w:r w:rsidR="00E32F2D">
              <w:rPr>
                <w:rStyle w:val="Hyperlink"/>
                <w:b w:val="0"/>
                <w:color w:val="000000" w:themeColor="text1"/>
              </w:rPr>
              <w:t xml:space="preserve"> </w:t>
            </w:r>
            <w:r w:rsidR="00CD3EDD">
              <w:rPr>
                <w:rStyle w:val="Hyperlink"/>
                <w:b w:val="0"/>
                <w:color w:val="000000" w:themeColor="text1"/>
              </w:rPr>
              <w:t>Exigences en matière de soumission</w:t>
            </w:r>
            <w:r w:rsidRPr="00F505A7" w:rsidR="00F505A7">
              <w:rPr>
                <w:webHidden/>
              </w:rPr>
              <w:tab/>
            </w:r>
            <w:r w:rsidRPr="00F505A7" w:rsidR="00F505A7">
              <w:rPr>
                <w:webHidden/>
              </w:rPr>
              <w:fldChar w:fldCharType="begin"/>
            </w:r>
            <w:r w:rsidRPr="00F505A7" w:rsidR="00F505A7">
              <w:rPr>
                <w:webHidden/>
              </w:rPr>
              <w:instrText xml:space="preserve"> PAGEREF _Toc148097443 \h </w:instrText>
            </w:r>
            <w:r w:rsidRPr="00F505A7" w:rsidR="00F505A7">
              <w:rPr>
                <w:webHidden/>
              </w:rPr>
            </w:r>
            <w:r w:rsidRPr="00F505A7" w:rsidR="00F505A7">
              <w:rPr>
                <w:webHidden/>
              </w:rPr>
              <w:fldChar w:fldCharType="separate"/>
            </w:r>
            <w:r w:rsidR="00A35C4D">
              <w:rPr>
                <w:webHidden/>
              </w:rPr>
              <w:t>10</w:t>
            </w:r>
            <w:r w:rsidRPr="00F505A7" w:rsidR="00F505A7">
              <w:rPr>
                <w:webHidden/>
              </w:rPr>
              <w:fldChar w:fldCharType="end"/>
            </w:r>
          </w:hyperlink>
        </w:p>
        <w:p w:rsidRPr="00F505A7" w:rsidR="00F505A7" w:rsidP="005C255F" w:rsidRDefault="008E3CB1" w14:paraId="184DD2DF" w14:textId="35C0115E">
          <w:pPr>
            <w:pStyle w:val="TOC3"/>
            <w:spacing w:line="240" w:lineRule="auto"/>
            <w:rPr>
              <w:rFonts w:asciiTheme="minorHAnsi" w:hAnsiTheme="minorHAnsi" w:cstheme="minorBidi"/>
              <w:noProof/>
            </w:rPr>
          </w:pPr>
          <w:hyperlink w:history="1" w:anchor="_Toc148097444">
            <w:r w:rsidRPr="00F505A7" w:rsidR="00F505A7">
              <w:rPr>
                <w:rStyle w:val="Hyperlink"/>
                <w:noProof/>
                <w:color w:val="000000" w:themeColor="text1"/>
              </w:rPr>
              <w:t>3.5.1</w:t>
            </w:r>
            <w:r w:rsidRPr="00F505A7" w:rsidR="00F505A7">
              <w:rPr>
                <w:rFonts w:asciiTheme="minorHAnsi" w:hAnsiTheme="minorHAnsi" w:cstheme="minorBidi"/>
                <w:noProof/>
              </w:rPr>
              <w:tab/>
            </w:r>
            <w:r w:rsidR="00CD3EDD">
              <w:rPr>
                <w:rStyle w:val="Hyperlink"/>
                <w:noProof/>
                <w:color w:val="000000" w:themeColor="text1"/>
              </w:rPr>
              <w:t>Modèle de proposition fictive (1PAR catégorie de service</w:t>
            </w:r>
            <w:r w:rsidRPr="00F505A7" w:rsidR="00F505A7">
              <w:rPr>
                <w:noProof/>
                <w:webHidden/>
              </w:rPr>
              <w:tab/>
            </w:r>
            <w:r w:rsidRPr="00F505A7" w:rsidR="00F505A7">
              <w:rPr>
                <w:noProof/>
                <w:webHidden/>
              </w:rPr>
              <w:fldChar w:fldCharType="begin"/>
            </w:r>
            <w:r w:rsidRPr="00F505A7" w:rsidR="00F505A7">
              <w:rPr>
                <w:noProof/>
                <w:webHidden/>
              </w:rPr>
              <w:instrText xml:space="preserve"> PAGEREF _Toc148097444 \h </w:instrText>
            </w:r>
            <w:r w:rsidRPr="00F505A7" w:rsidR="00F505A7">
              <w:rPr>
                <w:noProof/>
                <w:webHidden/>
              </w:rPr>
            </w:r>
            <w:r w:rsidRPr="00F505A7" w:rsidR="00F505A7">
              <w:rPr>
                <w:noProof/>
                <w:webHidden/>
              </w:rPr>
              <w:fldChar w:fldCharType="separate"/>
            </w:r>
            <w:r w:rsidR="00A35C4D">
              <w:rPr>
                <w:noProof/>
                <w:webHidden/>
              </w:rPr>
              <w:t>10</w:t>
            </w:r>
            <w:r w:rsidRPr="00F505A7" w:rsidR="00F505A7">
              <w:rPr>
                <w:noProof/>
                <w:webHidden/>
              </w:rPr>
              <w:fldChar w:fldCharType="end"/>
            </w:r>
          </w:hyperlink>
        </w:p>
        <w:p w:rsidRPr="00F505A7" w:rsidR="00F505A7" w:rsidP="005C255F" w:rsidRDefault="008E3CB1" w14:paraId="7C9F8601" w14:textId="70EE6C46">
          <w:pPr>
            <w:pStyle w:val="TOC3"/>
            <w:spacing w:line="240" w:lineRule="auto"/>
            <w:rPr>
              <w:rFonts w:asciiTheme="minorHAnsi" w:hAnsiTheme="minorHAnsi" w:cstheme="minorBidi"/>
              <w:noProof/>
            </w:rPr>
          </w:pPr>
          <w:hyperlink w:history="1" w:anchor="_Toc148097445">
            <w:r w:rsidRPr="00F505A7" w:rsidR="00F505A7">
              <w:rPr>
                <w:rStyle w:val="Hyperlink"/>
                <w:noProof/>
                <w:color w:val="000000" w:themeColor="text1"/>
              </w:rPr>
              <w:t>3.5.2</w:t>
            </w:r>
            <w:r w:rsidRPr="00F505A7" w:rsidR="00F505A7">
              <w:rPr>
                <w:rFonts w:asciiTheme="minorHAnsi" w:hAnsiTheme="minorHAnsi" w:cstheme="minorBidi"/>
                <w:noProof/>
              </w:rPr>
              <w:tab/>
            </w:r>
            <w:r w:rsidRPr="00F505A7" w:rsidR="00F505A7">
              <w:rPr>
                <w:rStyle w:val="Hyperlink"/>
                <w:noProof/>
                <w:color w:val="000000" w:themeColor="text1"/>
              </w:rPr>
              <w:t>Forms &amp; Eligibility Documents</w:t>
            </w:r>
            <w:r w:rsidR="00CD3EDD">
              <w:rPr>
                <w:rStyle w:val="Hyperlink"/>
                <w:noProof/>
                <w:color w:val="000000" w:themeColor="text1"/>
              </w:rPr>
              <w:t xml:space="preserve"> Formulaires et documents d’éligibilité </w:t>
            </w:r>
            <w:r w:rsidRPr="00F505A7" w:rsidR="00F505A7">
              <w:rPr>
                <w:noProof/>
                <w:webHidden/>
              </w:rPr>
              <w:tab/>
            </w:r>
            <w:r w:rsidRPr="00F505A7" w:rsidR="00F505A7">
              <w:rPr>
                <w:noProof/>
                <w:webHidden/>
              </w:rPr>
              <w:fldChar w:fldCharType="begin"/>
            </w:r>
            <w:r w:rsidRPr="00F505A7" w:rsidR="00F505A7">
              <w:rPr>
                <w:noProof/>
                <w:webHidden/>
              </w:rPr>
              <w:instrText xml:space="preserve"> PAGEREF _Toc148097445 \h </w:instrText>
            </w:r>
            <w:r w:rsidRPr="00F505A7" w:rsidR="00F505A7">
              <w:rPr>
                <w:noProof/>
                <w:webHidden/>
              </w:rPr>
            </w:r>
            <w:r w:rsidRPr="00F505A7" w:rsidR="00F505A7">
              <w:rPr>
                <w:noProof/>
                <w:webHidden/>
              </w:rPr>
              <w:fldChar w:fldCharType="separate"/>
            </w:r>
            <w:r w:rsidR="00A35C4D">
              <w:rPr>
                <w:noProof/>
                <w:webHidden/>
              </w:rPr>
              <w:t>12</w:t>
            </w:r>
            <w:r w:rsidRPr="00F505A7" w:rsidR="00F505A7">
              <w:rPr>
                <w:noProof/>
                <w:webHidden/>
              </w:rPr>
              <w:fldChar w:fldCharType="end"/>
            </w:r>
          </w:hyperlink>
        </w:p>
        <w:p w:rsidRPr="00F505A7" w:rsidR="00F505A7" w:rsidP="005C255F" w:rsidRDefault="008E3CB1" w14:paraId="0BB75D18" w14:textId="476950D4">
          <w:pPr>
            <w:pStyle w:val="TOC1"/>
            <w:spacing w:line="240" w:lineRule="auto"/>
            <w:rPr>
              <w:rFonts w:asciiTheme="minorHAnsi" w:hAnsiTheme="minorHAnsi" w:cstheme="minorBidi"/>
              <w:b w:val="0"/>
            </w:rPr>
          </w:pPr>
          <w:hyperlink w:history="1" w:anchor="_Toc148097451">
            <w:r w:rsidRPr="00F505A7" w:rsidR="00F505A7">
              <w:rPr>
                <w:rStyle w:val="Hyperlink"/>
                <w:b w:val="0"/>
                <w:color w:val="000000" w:themeColor="text1"/>
              </w:rPr>
              <w:t xml:space="preserve">4. </w:t>
            </w:r>
            <w:r w:rsidR="00CD3EDD">
              <w:rPr>
                <w:rStyle w:val="Hyperlink"/>
                <w:b w:val="0"/>
                <w:color w:val="000000" w:themeColor="text1"/>
              </w:rPr>
              <w:t xml:space="preserve"> Critères d’évaluation</w:t>
            </w:r>
            <w:r w:rsidRPr="00F505A7" w:rsidR="00F505A7">
              <w:rPr>
                <w:b w:val="0"/>
                <w:webHidden/>
              </w:rPr>
              <w:tab/>
            </w:r>
            <w:r w:rsidRPr="00F505A7" w:rsidR="00F505A7">
              <w:rPr>
                <w:b w:val="0"/>
                <w:webHidden/>
              </w:rPr>
              <w:fldChar w:fldCharType="begin"/>
            </w:r>
            <w:r w:rsidRPr="00F505A7" w:rsidR="00F505A7">
              <w:rPr>
                <w:b w:val="0"/>
                <w:webHidden/>
              </w:rPr>
              <w:instrText xml:space="preserve"> PAGEREF _Toc148097451 \h </w:instrText>
            </w:r>
            <w:r w:rsidRPr="00F505A7" w:rsidR="00F505A7">
              <w:rPr>
                <w:b w:val="0"/>
                <w:webHidden/>
              </w:rPr>
            </w:r>
            <w:r w:rsidRPr="00F505A7" w:rsidR="00F505A7">
              <w:rPr>
                <w:b w:val="0"/>
                <w:webHidden/>
              </w:rPr>
              <w:fldChar w:fldCharType="separate"/>
            </w:r>
            <w:r w:rsidR="00A35C4D">
              <w:rPr>
                <w:b w:val="0"/>
                <w:webHidden/>
              </w:rPr>
              <w:t>13</w:t>
            </w:r>
            <w:r w:rsidRPr="00F505A7" w:rsidR="00F505A7">
              <w:rPr>
                <w:b w:val="0"/>
                <w:webHidden/>
              </w:rPr>
              <w:fldChar w:fldCharType="end"/>
            </w:r>
          </w:hyperlink>
        </w:p>
        <w:p w:rsidRPr="00F505A7" w:rsidR="00F505A7" w:rsidP="005C255F" w:rsidRDefault="008E3CB1" w14:paraId="147B16D9" w14:textId="2E4EB12E">
          <w:pPr>
            <w:pStyle w:val="TOC2"/>
            <w:spacing w:line="240" w:lineRule="auto"/>
            <w:rPr>
              <w:rFonts w:asciiTheme="minorHAnsi" w:hAnsiTheme="minorHAnsi" w:cstheme="minorBidi"/>
            </w:rPr>
          </w:pPr>
          <w:hyperlink w:history="1" w:anchor="_Toc148097452">
            <w:r w:rsidRPr="00F505A7" w:rsidR="00F505A7">
              <w:rPr>
                <w:rStyle w:val="Hyperlink"/>
                <w:b w:val="0"/>
                <w:color w:val="000000" w:themeColor="text1"/>
              </w:rPr>
              <w:t>4.1 Confidentialit</w:t>
            </w:r>
            <w:r w:rsidR="00CD3EDD">
              <w:rPr>
                <w:rStyle w:val="Hyperlink"/>
                <w:b w:val="0"/>
                <w:color w:val="000000" w:themeColor="text1"/>
              </w:rPr>
              <w:t>é</w:t>
            </w:r>
            <w:r w:rsidRPr="00F505A7" w:rsidR="00F505A7">
              <w:rPr>
                <w:webHidden/>
              </w:rPr>
              <w:tab/>
            </w:r>
            <w:r w:rsidRPr="00F505A7" w:rsidR="00F505A7">
              <w:rPr>
                <w:webHidden/>
              </w:rPr>
              <w:fldChar w:fldCharType="begin"/>
            </w:r>
            <w:r w:rsidRPr="00F505A7" w:rsidR="00F505A7">
              <w:rPr>
                <w:webHidden/>
              </w:rPr>
              <w:instrText xml:space="preserve"> PAGEREF _Toc148097452 \h </w:instrText>
            </w:r>
            <w:r w:rsidRPr="00F505A7" w:rsidR="00F505A7">
              <w:rPr>
                <w:webHidden/>
              </w:rPr>
            </w:r>
            <w:r w:rsidRPr="00F505A7" w:rsidR="00F505A7">
              <w:rPr>
                <w:webHidden/>
              </w:rPr>
              <w:fldChar w:fldCharType="separate"/>
            </w:r>
            <w:r w:rsidR="00A35C4D">
              <w:rPr>
                <w:webHidden/>
              </w:rPr>
              <w:t>13</w:t>
            </w:r>
            <w:r w:rsidRPr="00F505A7" w:rsidR="00F505A7">
              <w:rPr>
                <w:webHidden/>
              </w:rPr>
              <w:fldChar w:fldCharType="end"/>
            </w:r>
          </w:hyperlink>
        </w:p>
        <w:p w:rsidRPr="00F505A7" w:rsidR="00F505A7" w:rsidP="005C255F" w:rsidRDefault="008E3CB1" w14:paraId="51282DFD" w14:textId="7F107429">
          <w:pPr>
            <w:pStyle w:val="TOC2"/>
            <w:spacing w:line="240" w:lineRule="auto"/>
            <w:rPr>
              <w:rFonts w:asciiTheme="minorHAnsi" w:hAnsiTheme="minorHAnsi" w:cstheme="minorBidi"/>
            </w:rPr>
          </w:pPr>
          <w:hyperlink w:history="1" w:anchor="_Toc148097453">
            <w:r w:rsidRPr="00F505A7" w:rsidR="00F505A7">
              <w:rPr>
                <w:rStyle w:val="Hyperlink"/>
                <w:b w:val="0"/>
                <w:color w:val="000000" w:themeColor="text1"/>
              </w:rPr>
              <w:t xml:space="preserve">4.2 </w:t>
            </w:r>
            <w:r w:rsidR="00CD3EDD">
              <w:rPr>
                <w:rStyle w:val="Hyperlink"/>
                <w:b w:val="0"/>
                <w:color w:val="000000" w:themeColor="text1"/>
              </w:rPr>
              <w:t>È</w:t>
            </w:r>
            <w:r w:rsidRPr="00F505A7" w:rsidR="00F505A7">
              <w:rPr>
                <w:rStyle w:val="Hyperlink"/>
                <w:b w:val="0"/>
                <w:color w:val="000000" w:themeColor="text1"/>
              </w:rPr>
              <w:t xml:space="preserve">valuation </w:t>
            </w:r>
            <w:r w:rsidR="00CD3EDD">
              <w:rPr>
                <w:rStyle w:val="Hyperlink"/>
                <w:b w:val="0"/>
                <w:color w:val="000000" w:themeColor="text1"/>
              </w:rPr>
              <w:t>technique des demandes</w:t>
            </w:r>
            <w:r w:rsidRPr="00F505A7" w:rsidR="00F505A7">
              <w:rPr>
                <w:webHidden/>
              </w:rPr>
              <w:tab/>
            </w:r>
            <w:r w:rsidRPr="00F505A7" w:rsidR="00F505A7">
              <w:rPr>
                <w:webHidden/>
              </w:rPr>
              <w:fldChar w:fldCharType="begin"/>
            </w:r>
            <w:r w:rsidRPr="00F505A7" w:rsidR="00F505A7">
              <w:rPr>
                <w:webHidden/>
              </w:rPr>
              <w:instrText xml:space="preserve"> PAGEREF _Toc148097453 \h </w:instrText>
            </w:r>
            <w:r w:rsidRPr="00F505A7" w:rsidR="00F505A7">
              <w:rPr>
                <w:webHidden/>
              </w:rPr>
            </w:r>
            <w:r w:rsidRPr="00F505A7" w:rsidR="00F505A7">
              <w:rPr>
                <w:webHidden/>
              </w:rPr>
              <w:fldChar w:fldCharType="separate"/>
            </w:r>
            <w:r w:rsidR="00A35C4D">
              <w:rPr>
                <w:webHidden/>
              </w:rPr>
              <w:t>13</w:t>
            </w:r>
            <w:r w:rsidRPr="00F505A7" w:rsidR="00F505A7">
              <w:rPr>
                <w:webHidden/>
              </w:rPr>
              <w:fldChar w:fldCharType="end"/>
            </w:r>
          </w:hyperlink>
        </w:p>
        <w:p w:rsidRPr="00F505A7" w:rsidR="00F505A7" w:rsidP="005C255F" w:rsidRDefault="008E3CB1" w14:paraId="0D7934BB" w14:textId="354540EE">
          <w:pPr>
            <w:pStyle w:val="TOC2"/>
            <w:spacing w:line="240" w:lineRule="auto"/>
            <w:rPr>
              <w:rFonts w:asciiTheme="minorHAnsi" w:hAnsiTheme="minorHAnsi" w:cstheme="minorBidi"/>
            </w:rPr>
          </w:pPr>
          <w:hyperlink w:history="1" w:anchor="_Toc148097454">
            <w:r w:rsidRPr="00F505A7" w:rsidR="00F505A7">
              <w:rPr>
                <w:rStyle w:val="Hyperlink"/>
                <w:b w:val="0"/>
                <w:color w:val="000000" w:themeColor="text1"/>
              </w:rPr>
              <w:t>4.3 Diligence</w:t>
            </w:r>
            <w:r w:rsidR="00CD3EDD">
              <w:rPr>
                <w:rStyle w:val="Hyperlink"/>
                <w:b w:val="0"/>
                <w:color w:val="000000" w:themeColor="text1"/>
              </w:rPr>
              <w:t xml:space="preserve"> raisonnable</w:t>
            </w:r>
            <w:r w:rsidRPr="00F505A7" w:rsidR="00F505A7">
              <w:rPr>
                <w:webHidden/>
              </w:rPr>
              <w:tab/>
            </w:r>
            <w:r w:rsidRPr="00F505A7" w:rsidR="00F505A7">
              <w:rPr>
                <w:webHidden/>
              </w:rPr>
              <w:fldChar w:fldCharType="begin"/>
            </w:r>
            <w:r w:rsidRPr="00F505A7" w:rsidR="00F505A7">
              <w:rPr>
                <w:webHidden/>
              </w:rPr>
              <w:instrText xml:space="preserve"> PAGEREF _Toc148097454 \h </w:instrText>
            </w:r>
            <w:r w:rsidRPr="00F505A7" w:rsidR="00F505A7">
              <w:rPr>
                <w:webHidden/>
              </w:rPr>
            </w:r>
            <w:r w:rsidRPr="00F505A7" w:rsidR="00F505A7">
              <w:rPr>
                <w:webHidden/>
              </w:rPr>
              <w:fldChar w:fldCharType="separate"/>
            </w:r>
            <w:r w:rsidR="00A35C4D">
              <w:rPr>
                <w:webHidden/>
              </w:rPr>
              <w:t>13</w:t>
            </w:r>
            <w:r w:rsidRPr="00F505A7" w:rsidR="00F505A7">
              <w:rPr>
                <w:webHidden/>
              </w:rPr>
              <w:fldChar w:fldCharType="end"/>
            </w:r>
          </w:hyperlink>
        </w:p>
        <w:p w:rsidR="009178F1" w:rsidP="005C255F" w:rsidRDefault="001153E9" w14:paraId="3C2900AA" w14:textId="2D7E8BD3">
          <w:pPr>
            <w:spacing w:line="240" w:lineRule="auto"/>
            <w:rPr>
              <w:b/>
              <w:color w:val="000000" w:themeColor="text1"/>
            </w:rPr>
          </w:pPr>
          <w:r w:rsidRPr="00E77A77">
            <w:rPr>
              <w:color w:val="000000" w:themeColor="text1"/>
              <w:shd w:val="clear" w:color="auto" w:fill="E6E6E6"/>
            </w:rPr>
            <w:fldChar w:fldCharType="end"/>
          </w:r>
        </w:p>
      </w:sdtContent>
    </w:sdt>
    <w:p w:rsidRPr="009178F1" w:rsidR="001153E9" w:rsidP="005C255F" w:rsidRDefault="009178F1" w14:paraId="661FE352" w14:textId="4EF73C1B">
      <w:pPr>
        <w:spacing w:line="240" w:lineRule="auto"/>
        <w:jc w:val="left"/>
        <w:rPr>
          <w:b/>
          <w:bCs/>
          <w:noProof/>
          <w:color w:val="000000" w:themeColor="text1"/>
        </w:rPr>
      </w:pPr>
      <w:r>
        <w:br w:type="page"/>
      </w:r>
    </w:p>
    <w:p w:rsidRPr="000B01C1" w:rsidR="00766748" w:rsidP="005C255F" w:rsidRDefault="004C5E14" w14:paraId="2F79E4E3" w14:textId="0AEAAF85">
      <w:pPr>
        <w:pStyle w:val="Heading1"/>
        <w:numPr>
          <w:ilvl w:val="0"/>
          <w:numId w:val="13"/>
        </w:numPr>
        <w:ind w:left="360"/>
      </w:pPr>
      <w:bookmarkStart w:name="_Toc148097429" w:id="1"/>
      <w:r>
        <w:t>Introduction</w:t>
      </w:r>
      <w:bookmarkEnd w:id="1"/>
    </w:p>
    <w:p w:rsidR="00E121DD" w:rsidP="005C255F" w:rsidRDefault="00E121DD" w14:paraId="55C925B3" w14:textId="62F0626B">
      <w:pPr>
        <w:spacing w:line="240" w:lineRule="auto"/>
      </w:pPr>
      <w:r>
        <w:t>Mercy Corps est une équipe mondiale d</w:t>
      </w:r>
      <w:r w:rsidR="00A35C4D">
        <w:t>’</w:t>
      </w:r>
      <w:r>
        <w:t>humanitaires qui travaillent ensemble sur les lignes de front des plus grandes crises d</w:t>
      </w:r>
      <w:r w:rsidR="00A35C4D">
        <w:t>’</w:t>
      </w:r>
      <w:r>
        <w:t>aujourd</w:t>
      </w:r>
      <w:r w:rsidR="00A35C4D">
        <w:t>’</w:t>
      </w:r>
      <w:r>
        <w:t>hui pour créer un avenir de possibilités, où tout le monde peut prospérer. Notre mission</w:t>
      </w:r>
      <w:r w:rsidR="00A35C4D">
        <w:t> </w:t>
      </w:r>
      <w:r>
        <w:t>: atténuer la souffrance, la pauvreté et l</w:t>
      </w:r>
      <w:r w:rsidR="00A35C4D">
        <w:t>’</w:t>
      </w:r>
      <w:r>
        <w:t>oppression en aidant les gens à construire des communautés sûres, productives et justes. Dans plus de 40</w:t>
      </w:r>
      <w:r w:rsidR="00A35C4D">
        <w:t> </w:t>
      </w:r>
      <w:r>
        <w:t>pays à travers le monde, plus de 5</w:t>
      </w:r>
      <w:r w:rsidR="00A35C4D">
        <w:t> </w:t>
      </w:r>
      <w:r>
        <w:t>400</w:t>
      </w:r>
      <w:r w:rsidR="00A35C4D">
        <w:t> </w:t>
      </w:r>
      <w:r>
        <w:t>membres de l</w:t>
      </w:r>
      <w:r w:rsidR="00A35C4D">
        <w:t>’</w:t>
      </w:r>
      <w:r>
        <w:t>équipe travaillent aux côtés des personnes vivant dans la pauvreté, les catastrophes, les conflits violents et les impacts aigus du changement climatique. Nous nous engageons à créer un changement mondial par le biais d</w:t>
      </w:r>
      <w:r w:rsidR="00A35C4D">
        <w:t>’</w:t>
      </w:r>
      <w:r>
        <w:t xml:space="preserve">un impact local </w:t>
      </w:r>
      <w:r w:rsidR="00A35C4D">
        <w:t>—</w:t>
      </w:r>
      <w:r>
        <w:t xml:space="preserve"> 84</w:t>
      </w:r>
      <w:r w:rsidR="00A35C4D">
        <w:t> </w:t>
      </w:r>
      <w:r>
        <w:t>% des membres de notre équipe sont originaires des pays dans lesquels ils travaillent.</w:t>
      </w:r>
    </w:p>
    <w:p w:rsidR="00467A51" w:rsidP="005C255F" w:rsidRDefault="00467A51" w14:paraId="273B4037" w14:textId="37F10A40">
      <w:pPr>
        <w:spacing w:line="240" w:lineRule="auto"/>
      </w:pPr>
      <w:r>
        <w:t>L</w:t>
      </w:r>
      <w:r w:rsidR="00A35C4D">
        <w:t>’</w:t>
      </w:r>
      <w:r>
        <w:t>équipe chargée du suivi, de l</w:t>
      </w:r>
      <w:r w:rsidR="00A35C4D">
        <w:t>’</w:t>
      </w:r>
      <w:r>
        <w:t>évaluation et de l</w:t>
      </w:r>
      <w:r w:rsidR="00A35C4D">
        <w:t>’</w:t>
      </w:r>
      <w:r>
        <w:t>apprentissage (MEL) soutient les approches de gestion adaptative de la gestion des programmes, qu</w:t>
      </w:r>
      <w:r w:rsidR="00A35C4D">
        <w:t>’</w:t>
      </w:r>
      <w:r>
        <w:t>elles soient fondamentales ou de pointe. Les fonctions de conception, de suivi, d</w:t>
      </w:r>
      <w:r w:rsidR="00A35C4D">
        <w:t>’</w:t>
      </w:r>
      <w:r>
        <w:t>évaluation et d</w:t>
      </w:r>
      <w:r w:rsidR="00A35C4D">
        <w:t>’</w:t>
      </w:r>
      <w:r>
        <w:t>apprentissage sont des processus et des points de référence essentiels pour garantir une prise de décision fondée sur des données probantes en vue d</w:t>
      </w:r>
      <w:r w:rsidR="00A35C4D">
        <w:t>’</w:t>
      </w:r>
      <w:r>
        <w:t>une mise en œuvre de qualité des programmes. L</w:t>
      </w:r>
      <w:r w:rsidR="00A35C4D">
        <w:t>’</w:t>
      </w:r>
      <w:r>
        <w:t>équipe travaille avec un large éventail de parties prenantes internes et externes à Mercy Corps, ainsi qu</w:t>
      </w:r>
      <w:r w:rsidR="00A35C4D">
        <w:t>’</w:t>
      </w:r>
      <w:r>
        <w:t>avec des approches de programmes techniques et des secteurs variés.</w:t>
      </w:r>
    </w:p>
    <w:p w:rsidR="001F7F7B" w:rsidP="005C255F" w:rsidRDefault="00467A51" w14:paraId="408AB517" w14:textId="0D8FF8DF">
      <w:pPr>
        <w:spacing w:line="240" w:lineRule="auto"/>
      </w:pPr>
      <w:r>
        <w:t>Depuis 2018, l</w:t>
      </w:r>
      <w:r w:rsidR="00A35C4D">
        <w:t>’</w:t>
      </w:r>
      <w:r>
        <w:t>équipe de la MEL a mis en place un accord-cadre de services de suivi, d</w:t>
      </w:r>
      <w:r w:rsidR="00A35C4D">
        <w:t>’</w:t>
      </w:r>
      <w:r>
        <w:t>évaluation et de recherche (MER-MSA), composé d</w:t>
      </w:r>
      <w:r w:rsidR="00A35C4D">
        <w:t>’</w:t>
      </w:r>
      <w:r>
        <w:t>un pool d</w:t>
      </w:r>
      <w:r w:rsidR="00A35C4D">
        <w:t>’</w:t>
      </w:r>
      <w:r>
        <w:t>entreprises qualifiées ayant une expertise dans les services de suivi, d</w:t>
      </w:r>
      <w:r w:rsidR="00A35C4D">
        <w:t>’</w:t>
      </w:r>
      <w:r>
        <w:t>évaluation et de recherche (MER). Le MER-MSA a contribué à améliorer l</w:t>
      </w:r>
      <w:r w:rsidR="00A35C4D">
        <w:t>’</w:t>
      </w:r>
      <w:r>
        <w:t>accès de l</w:t>
      </w:r>
      <w:r w:rsidR="00A35C4D">
        <w:t>’</w:t>
      </w:r>
      <w:r>
        <w:t>équipe de programme de Mercy Corps à des organisations qualifiées pour répondre aux besoins essentiels en matière de suivi, d</w:t>
      </w:r>
      <w:r w:rsidR="00A35C4D">
        <w:t>’</w:t>
      </w:r>
      <w:r>
        <w:t>évaluation, d</w:t>
      </w:r>
      <w:r w:rsidR="00A35C4D">
        <w:t>’</w:t>
      </w:r>
      <w:r>
        <w:t>apprentissage, de recherche et d</w:t>
      </w:r>
      <w:r w:rsidR="00A35C4D">
        <w:t>’</w:t>
      </w:r>
      <w:r>
        <w:t>analyse.</w:t>
      </w:r>
    </w:p>
    <w:p w:rsidR="003839CB" w:rsidP="005C255F" w:rsidRDefault="213F52C7" w14:paraId="66472B9B" w14:textId="26E8F017">
      <w:pPr>
        <w:spacing w:line="240" w:lineRule="auto"/>
      </w:pPr>
      <w:r w:rsidR="213F52C7">
        <w:rPr/>
        <w:t>Avec l</w:t>
      </w:r>
      <w:r w:rsidR="00A35C4D">
        <w:rPr/>
        <w:t>’</w:t>
      </w:r>
      <w:r w:rsidR="213F52C7">
        <w:rPr/>
        <w:t>expiration du MER-MSA en 2023, Mercy Corps cherche à nouveau à constituer une liste d</w:t>
      </w:r>
      <w:r w:rsidR="00A35C4D">
        <w:rPr/>
        <w:t>’</w:t>
      </w:r>
      <w:r w:rsidR="213F52C7">
        <w:rPr/>
        <w:t>entreprises qualifiées pour fournir des services MER aux équipes de Mercy Corps. En lieu et place d</w:t>
      </w:r>
      <w:r w:rsidR="00A35C4D">
        <w:rPr/>
        <w:t>’</w:t>
      </w:r>
      <w:r w:rsidR="213F52C7">
        <w:rPr/>
        <w:t>un accord-cadre de services (</w:t>
      </w:r>
      <w:proofErr w:type="spellStart"/>
      <w:r w:rsidR="213F52C7">
        <w:rPr/>
        <w:t>msa</w:t>
      </w:r>
      <w:proofErr w:type="spellEnd"/>
      <w:r w:rsidR="213F52C7">
        <w:rPr/>
        <w:t>), nous cherchons à constituer un pool préqualifié (PQP) de fournisseurs de services de suivi, d</w:t>
      </w:r>
      <w:r w:rsidR="00A35C4D">
        <w:rPr/>
        <w:t>’</w:t>
      </w:r>
      <w:r w:rsidR="213F52C7">
        <w:rPr/>
        <w:t>évaluation et de recherche. La préqualification est un processus qui permet de présélectionner les fournisseurs concurrents en fonction d</w:t>
      </w:r>
      <w:r w:rsidR="00A35C4D">
        <w:rPr/>
        <w:t>’</w:t>
      </w:r>
      <w:r w:rsidR="213F52C7">
        <w:rPr/>
        <w:t>un ensemble de critères prédéterminés, ce qui permet de s</w:t>
      </w:r>
      <w:r w:rsidR="00A35C4D">
        <w:rPr/>
        <w:t>’</w:t>
      </w:r>
      <w:r w:rsidR="213F52C7">
        <w:rPr/>
        <w:t>assurer que les vendeurs ont la capacité standard de fournir des services ou des travaux avant d</w:t>
      </w:r>
      <w:r w:rsidR="00A35C4D">
        <w:rPr/>
        <w:t>’</w:t>
      </w:r>
      <w:r w:rsidR="213F52C7">
        <w:rPr/>
        <w:t>être invités à présenter une offre pour une activité de passation de marché particulière. Comme le MSA, un bon système de préqualification rationalise le processus de passation des marchés (en supprimant plusieurs exigences ou étapes pour les entreprises et les équipes de Mercy Corps) et contribue à minimiser le risque d</w:t>
      </w:r>
      <w:r w:rsidR="00A35C4D">
        <w:rPr/>
        <w:t>’</w:t>
      </w:r>
      <w:r w:rsidR="213F52C7">
        <w:rPr/>
        <w:t>échec du contrat. La liste des fournisseurs MER préqualifiés (MER-PQP) sera communiquée aux bureaux locaux de Mercy Corps en tant que fournisseurs MER recommandés et les entreprises seront invitées à soumettre des propositions pour des opportunités à la discrétion de l</w:t>
      </w:r>
      <w:r w:rsidR="00A35C4D">
        <w:rPr/>
        <w:t>’</w:t>
      </w:r>
      <w:r w:rsidR="213F52C7">
        <w:rPr/>
        <w:t>équipe de Mercy Corps qui en fait la demande, sur la base de l</w:t>
      </w:r>
      <w:r w:rsidR="00A35C4D">
        <w:rPr/>
        <w:t>’</w:t>
      </w:r>
      <w:r w:rsidR="213F52C7">
        <w:rPr/>
        <w:t>expertise déclarée et de l</w:t>
      </w:r>
      <w:r w:rsidR="00A35C4D">
        <w:rPr/>
        <w:t>’</w:t>
      </w:r>
      <w:r w:rsidR="213F52C7">
        <w:rPr/>
        <w:t>expérience pertinente de l</w:t>
      </w:r>
      <w:r w:rsidR="00A35C4D">
        <w:rPr/>
        <w:t>’</w:t>
      </w:r>
      <w:r w:rsidR="213F52C7">
        <w:rPr/>
        <w:t>entreprise. Si une entreprise est retenue, elle recevra un contrat pour ce projet. Veuillez noter que la préqualification ne garantit pas l</w:t>
      </w:r>
      <w:r w:rsidR="00A35C4D">
        <w:rPr/>
        <w:t>’</w:t>
      </w:r>
      <w:r w:rsidR="213F52C7">
        <w:rPr/>
        <w:t>attribution d</w:t>
      </w:r>
      <w:r w:rsidR="00A35C4D">
        <w:rPr/>
        <w:t>’</w:t>
      </w:r>
      <w:r w:rsidR="213F52C7">
        <w:rPr/>
        <w:t>un marché et que les entreprises ne seront engagées que sur la base d</w:t>
      </w:r>
      <w:r w:rsidR="00A35C4D">
        <w:rPr/>
        <w:t>’</w:t>
      </w:r>
      <w:r w:rsidR="213F52C7">
        <w:rPr/>
        <w:t>un projet à la fois.</w:t>
      </w:r>
    </w:p>
    <w:p w:rsidR="21777DCC" w:rsidP="01568136" w:rsidRDefault="21777DCC" w14:paraId="27E84799" w14:textId="6F5C5253">
      <w:pPr>
        <w:pStyle w:val="Normal"/>
        <w:bidi w:val="0"/>
        <w:spacing w:before="0" w:beforeAutospacing="off" w:after="160" w:afterAutospacing="off" w:line="240" w:lineRule="auto"/>
        <w:ind w:left="0" w:right="0"/>
        <w:jc w:val="both"/>
      </w:pPr>
      <w:r w:rsidR="21777DCC">
        <w:rPr/>
        <w:t xml:space="preserve">Nous recherchons des entreprises et des organisations exceptionnelles prêtes à apporter leur soutien à distance ou à se déplacer pour fournir un soutien à différentes étapes du cycle du programme dans un ou plusieurs des domaines suivants : 1) Optimisation des ressources, évaluation des coûts et études coûts-avantages/efficacité 2) Évaluations d'impact 3) Évaluations de programmes, évaluations à mi-parcours et études de base/finales 4) </w:t>
      </w:r>
      <w:r w:rsidR="4395DB93">
        <w:rPr/>
        <w:t>Études formatives (y compris les évaluations de l’égalité des sexes et de l’inclusion sociale (GESI), les analyses de l’économie politique et les évaluations des systèmes de marché).</w:t>
      </w:r>
    </w:p>
    <w:p w:rsidR="00940D26" w:rsidP="005C255F" w:rsidRDefault="50B884E5" w14:paraId="50EDF6D6" w14:textId="4FA87B81">
      <w:pPr>
        <w:spacing w:line="240" w:lineRule="auto"/>
      </w:pPr>
      <w:r>
        <w:t>Il s</w:t>
      </w:r>
      <w:r w:rsidR="00A35C4D">
        <w:t>’</w:t>
      </w:r>
      <w:r>
        <w:t>agit d</w:t>
      </w:r>
      <w:r w:rsidR="00A35C4D">
        <w:t>’</w:t>
      </w:r>
      <w:r>
        <w:t>une demande de qualification (RFQ) pour les entreprises ou organisations de suivi, d</w:t>
      </w:r>
      <w:r w:rsidR="00A35C4D">
        <w:t>’</w:t>
      </w:r>
      <w:r>
        <w:t>évaluation et de recherche qui souhaitent être évaluées pour recevoir de</w:t>
      </w:r>
      <w:r w:rsidR="00A35C4D">
        <w:t>s</w:t>
      </w:r>
      <w:r>
        <w:t xml:space="preserve"> projets MER.</w:t>
      </w:r>
    </w:p>
    <w:p w:rsidRPr="00877546" w:rsidR="00766748" w:rsidP="005C255F" w:rsidRDefault="0310EB13" w14:paraId="6369C402" w14:textId="36A1A581">
      <w:pPr>
        <w:pStyle w:val="Heading2"/>
        <w:spacing w:line="240" w:lineRule="auto"/>
      </w:pPr>
      <w:bookmarkStart w:name="_Toc148097430" w:id="2"/>
      <w:r>
        <w:t xml:space="preserve">1.1 Description des marchés publics </w:t>
      </w:r>
      <w:bookmarkEnd w:id="2"/>
    </w:p>
    <w:p w:rsidRPr="009C1716" w:rsidR="003839F9" w:rsidP="005C255F" w:rsidRDefault="004C5E14" w14:paraId="3F77590E" w14:textId="6F2E9AC9">
      <w:pPr>
        <w:spacing w:line="240" w:lineRule="auto"/>
        <w:rPr>
          <w:i/>
        </w:rPr>
      </w:pPr>
      <w:bookmarkStart w:name="_b2idtpb2t866" w:id="3"/>
      <w:bookmarkStart w:name="_Toc140763974" w:id="4"/>
      <w:bookmarkEnd w:id="3"/>
      <w:r>
        <w:t>Les déclarations de qualification doivent être élaborées en stricte conformité avec la présente demande et doivent être évaluées de manière transparente par un comité d</w:t>
      </w:r>
      <w:r w:rsidR="00A35C4D">
        <w:t>’</w:t>
      </w:r>
      <w:r>
        <w:t>examinateurs, conformément aux critères d</w:t>
      </w:r>
      <w:r w:rsidR="00A35C4D">
        <w:t>’</w:t>
      </w:r>
      <w:r>
        <w:t>évaluation fournis.</w:t>
      </w:r>
      <w:bookmarkEnd w:id="4"/>
      <w:r>
        <w:t xml:space="preserve"> </w:t>
      </w:r>
    </w:p>
    <w:p w:rsidRPr="000D248C" w:rsidR="003839F9" w:rsidP="005C255F" w:rsidRDefault="004C5E14" w14:paraId="6BB82721" w14:textId="7896ACFF">
      <w:pPr>
        <w:spacing w:line="240" w:lineRule="auto"/>
        <w:rPr>
          <w:i/>
        </w:rPr>
      </w:pPr>
      <w:bookmarkStart w:name="_Toc140763975" w:id="5"/>
      <w:r>
        <w:t>L</w:t>
      </w:r>
      <w:r w:rsidR="00A35C4D">
        <w:t>’</w:t>
      </w:r>
      <w:r>
        <w:t>objectif de cet appel d</w:t>
      </w:r>
      <w:r w:rsidR="00A35C4D">
        <w:t>’</w:t>
      </w:r>
      <w:r>
        <w:t>offres de préqualification est de présélectionner des fournisseurs pour divers marchés futurs de Mercy Corps. Seuls les entrepreneurs présélectionnés feront l</w:t>
      </w:r>
      <w:r w:rsidR="00A35C4D">
        <w:t>’</w:t>
      </w:r>
      <w:r>
        <w:t>objet d</w:t>
      </w:r>
      <w:r w:rsidR="00A35C4D">
        <w:t>’</w:t>
      </w:r>
      <w:r>
        <w:t>un appel d</w:t>
      </w:r>
      <w:r w:rsidR="00A35C4D">
        <w:t>’</w:t>
      </w:r>
      <w:r>
        <w:t xml:space="preserve">offres ultérieur et le marché sera attribué à </w:t>
      </w:r>
      <w:r>
        <w:rPr>
          <w:i/>
        </w:rPr>
        <w:t>l</w:t>
      </w:r>
      <w:r w:rsidR="00A35C4D">
        <w:rPr>
          <w:i/>
        </w:rPr>
        <w:t>’</w:t>
      </w:r>
      <w:r>
        <w:rPr>
          <w:i/>
        </w:rPr>
        <w:t>offre la mieux notée selon les critères de sélection énumérés dans chaque cahier des charges.</w:t>
      </w:r>
      <w:bookmarkEnd w:id="5"/>
    </w:p>
    <w:p w:rsidRPr="000D248C" w:rsidR="00766748" w:rsidP="005C255F" w:rsidRDefault="004C5E14" w14:paraId="6B915BFD" w14:textId="1AC3C11E">
      <w:pPr>
        <w:spacing w:line="240" w:lineRule="auto"/>
        <w:rPr>
          <w:i/>
        </w:rPr>
      </w:pPr>
      <w:bookmarkStart w:name="_Toc140763976" w:id="6"/>
      <w:r>
        <w:t>La présente demande de qualification sera réémise chaque année afin de permettre à d</w:t>
      </w:r>
      <w:r w:rsidR="00A35C4D">
        <w:t>’</w:t>
      </w:r>
      <w:r>
        <w:t>autres fournisseurs de figurer sur la liste restreinte.</w:t>
      </w:r>
      <w:bookmarkEnd w:id="6"/>
      <w:r>
        <w:t xml:space="preserve">  </w:t>
      </w:r>
    </w:p>
    <w:p w:rsidRPr="000D248C" w:rsidR="00766748" w:rsidP="005C255F" w:rsidRDefault="004C5E14" w14:paraId="4282DBE4" w14:textId="224D9308">
      <w:pPr>
        <w:spacing w:line="240" w:lineRule="auto"/>
      </w:pPr>
      <w:r w:rsidR="004C5E14">
        <w:rPr/>
        <w:t>Les nouveaux fournisseurs et les fournisseurs qui n</w:t>
      </w:r>
      <w:r w:rsidR="00A35C4D">
        <w:rPr/>
        <w:t>’</w:t>
      </w:r>
      <w:r w:rsidR="004C5E14">
        <w:rPr/>
        <w:t xml:space="preserve">ont pas été présélectionnés lors des sélections précédentes auront la possibilité de présenter une nouvelle demande de présélection.  </w:t>
      </w:r>
    </w:p>
    <w:p w:rsidRPr="000D248C" w:rsidR="00766748" w:rsidP="005C255F" w:rsidRDefault="001129B7" w14:paraId="2EF51C28" w14:textId="061648EF">
      <w:pPr>
        <w:pStyle w:val="Heading2"/>
        <w:numPr>
          <w:ilvl w:val="1"/>
          <w:numId w:val="7"/>
        </w:numPr>
        <w:spacing w:line="240" w:lineRule="auto"/>
      </w:pPr>
      <w:bookmarkStart w:name="_Overview_of_Desired" w:id="7"/>
      <w:bookmarkEnd w:id="7"/>
      <w:r>
        <w:t xml:space="preserve"> </w:t>
      </w:r>
      <w:bookmarkStart w:name="_Toc148097431" w:id="8"/>
      <w:r>
        <w:t>Aperçu des services de suivi, d</w:t>
      </w:r>
      <w:r w:rsidR="00A35C4D">
        <w:t>’</w:t>
      </w:r>
      <w:r>
        <w:t>évaluation et de recherche souhaités</w:t>
      </w:r>
      <w:bookmarkEnd w:id="8"/>
      <w:r>
        <w:t xml:space="preserve"> </w:t>
      </w:r>
    </w:p>
    <w:p w:rsidR="000D248C" w:rsidP="005C255F" w:rsidRDefault="00805AE7" w14:paraId="4E3D450C" w14:textId="17C1AF81">
      <w:pPr>
        <w:spacing w:line="240" w:lineRule="auto"/>
      </w:pPr>
      <w:r>
        <w:t>Vous trouverez ci-dessous une vue d</w:t>
      </w:r>
      <w:r w:rsidR="00A35C4D">
        <w:t>’</w:t>
      </w:r>
      <w:r>
        <w:t>ensemble des quatre catégories de services que nous souhaitons inclure dans le MER-PQP, ainsi que des normes de travail générales pour toutes les entreprises qualifiées. Les entreprises peuvent se porter candidates pour une seule catégorie de services ou pour les quatre catégories. Des critères de sélection communs seront utilisés pour toutes les catégories de services, mais chaque organisation sera évaluée séparément pour chaque catégorie de services. Les organisations seront informées des catégories de services pour lesquelles elles ont été qualifiées.</w:t>
      </w:r>
    </w:p>
    <w:p w:rsidR="00805AE7" w:rsidP="005C255F" w:rsidRDefault="00805AE7" w14:paraId="01CD754E" w14:textId="7C76AB38">
      <w:pPr>
        <w:spacing w:line="240" w:lineRule="auto"/>
      </w:pPr>
      <w:r>
        <w:t>Nous cherchons à présélectionner des entreprises, des organisations ou des indépendants ayant une expertise dans une ou plusieurs des catégories suivantes</w:t>
      </w:r>
      <w:r w:rsidR="00A35C4D">
        <w:t> </w:t>
      </w:r>
      <w:r>
        <w:t>:</w:t>
      </w:r>
    </w:p>
    <w:p w:rsidRPr="00805AE7" w:rsidR="000372A2" w:rsidP="005C255F" w:rsidRDefault="000372A2" w14:paraId="4CFE6056" w14:textId="77777777">
      <w:pPr>
        <w:spacing w:after="0" w:line="240" w:lineRule="auto"/>
      </w:pPr>
    </w:p>
    <w:p w:rsidRPr="00875A14" w:rsidR="00073D22" w:rsidP="005C255F" w:rsidRDefault="1BECCF8B" w14:paraId="6C565C73" w14:textId="6FA063C9">
      <w:pPr>
        <w:pStyle w:val="ListParagraph"/>
        <w:numPr>
          <w:ilvl w:val="0"/>
          <w:numId w:val="20"/>
        </w:numPr>
        <w:spacing w:line="240" w:lineRule="auto"/>
        <w:rPr>
          <w:rFonts w:eastAsia="MS Mincho"/>
          <w:b/>
          <w:bCs/>
          <w:color w:val="4F81BD" w:themeColor="accent1"/>
        </w:rPr>
      </w:pPr>
      <w:r>
        <w:rPr>
          <w:b/>
          <w:color w:val="4F81BD" w:themeColor="accent1"/>
        </w:rPr>
        <w:t>Optimisation des ressources, évaluation des coûts et études coûts-avantages/efficacité</w:t>
      </w:r>
    </w:p>
    <w:p w:rsidR="00073D22" w:rsidP="005C255F" w:rsidRDefault="006069BE" w14:paraId="4707CA65" w14:textId="46460813">
      <w:pPr>
        <w:spacing w:line="240" w:lineRule="auto"/>
        <w:rPr>
          <w:rFonts w:eastAsia="MS Mincho"/>
        </w:rPr>
      </w:pPr>
      <w:r>
        <w:t>Les études coût-bénéfice, coût-efficacité et rapport qualité-prix sont des types d</w:t>
      </w:r>
      <w:r w:rsidR="00A35C4D">
        <w:t>’</w:t>
      </w:r>
      <w:r>
        <w:t>évaluations économiques. Les études de coûts sont également considérées comme des évaluations économiques, même si elles n</w:t>
      </w:r>
      <w:r w:rsidR="00A35C4D">
        <w:t>’</w:t>
      </w:r>
      <w:r>
        <w:t>incluent pas la mesure des résultats de l</w:t>
      </w:r>
      <w:r w:rsidR="00A35C4D">
        <w:t>’</w:t>
      </w:r>
      <w:r>
        <w:t>intervention, comme c</w:t>
      </w:r>
      <w:r w:rsidR="00A35C4D">
        <w:t>’</w:t>
      </w:r>
      <w:r>
        <w:t>est le cas dans les études susmentionnées. Les évaluations économiques identifient, mesurent, évaluent et comparent les coûts et les conséquences de différentes interventions. L</w:t>
      </w:r>
      <w:r w:rsidR="00A35C4D">
        <w:t>’</w:t>
      </w:r>
      <w:r>
        <w:t xml:space="preserve">allocation des ressources et la mise en œuvre de ces interventions </w:t>
      </w:r>
      <w:r w:rsidR="00A35C4D">
        <w:t>—</w:t>
      </w:r>
      <w:r>
        <w:t xml:space="preserve"> qu</w:t>
      </w:r>
      <w:r w:rsidR="00A35C4D">
        <w:t>’</w:t>
      </w:r>
      <w:r>
        <w:t>il s</w:t>
      </w:r>
      <w:r w:rsidR="00A35C4D">
        <w:t>’</w:t>
      </w:r>
      <w:r>
        <w:t xml:space="preserve">agisse de politiques ou de programmes </w:t>
      </w:r>
      <w:r w:rsidR="00A35C4D">
        <w:t>—</w:t>
      </w:r>
      <w:r>
        <w:t xml:space="preserve"> nécessitent une compréhension des relations entre les ressources utilisées et les résultats obtenus par le programme. Il est plus fréquent que ces études portent sur une composante spécifique de programmes vastes et complexes plutôt que sur l</w:t>
      </w:r>
      <w:r w:rsidR="00A35C4D">
        <w:t>’</w:t>
      </w:r>
      <w:r>
        <w:t>ensemble du programme. L</w:t>
      </w:r>
      <w:r w:rsidR="00A35C4D">
        <w:t>’</w:t>
      </w:r>
      <w:r>
        <w:t>évaluation économique permet de prendre en compte simultanément les ressources utilisées et les résultats obtenus et est utile pour soutenir la prise de décision lorsque les ressources sont limitées.</w:t>
      </w:r>
    </w:p>
    <w:p w:rsidRPr="006069BE" w:rsidR="00540B4F" w:rsidP="005C255F" w:rsidRDefault="00540B4F" w14:paraId="47C7E579" w14:textId="77777777">
      <w:pPr>
        <w:spacing w:after="0" w:line="240" w:lineRule="auto"/>
        <w:rPr>
          <w:rFonts w:eastAsia="MS Mincho"/>
        </w:rPr>
      </w:pPr>
    </w:p>
    <w:p w:rsidRPr="00875A14" w:rsidR="00073D22" w:rsidP="005C255F" w:rsidRDefault="37522B5F" w14:paraId="73B2EBB7" w14:textId="07B09D38">
      <w:pPr>
        <w:pStyle w:val="ListParagraph"/>
        <w:numPr>
          <w:ilvl w:val="0"/>
          <w:numId w:val="20"/>
        </w:numPr>
        <w:spacing w:line="240" w:lineRule="auto"/>
        <w:rPr>
          <w:rFonts w:eastAsia="MS Mincho"/>
          <w:b/>
          <w:bCs/>
          <w:color w:val="4F81BD" w:themeColor="accent1"/>
        </w:rPr>
      </w:pPr>
      <w:r>
        <w:rPr>
          <w:b/>
          <w:color w:val="4F81BD" w:themeColor="accent1"/>
        </w:rPr>
        <w:t>Évaluations d</w:t>
      </w:r>
      <w:r w:rsidR="00A35C4D">
        <w:rPr>
          <w:b/>
          <w:color w:val="4F81BD" w:themeColor="accent1"/>
        </w:rPr>
        <w:t>’</w:t>
      </w:r>
      <w:r>
        <w:rPr>
          <w:b/>
          <w:color w:val="4F81BD" w:themeColor="accent1"/>
        </w:rPr>
        <w:t>impact</w:t>
      </w:r>
    </w:p>
    <w:p w:rsidRPr="00875A14" w:rsidR="00073D22" w:rsidP="005C255F" w:rsidRDefault="196203F3" w14:paraId="6AD900D8" w14:textId="1C0D807A">
      <w:pPr>
        <w:spacing w:after="0" w:line="240" w:lineRule="auto"/>
        <w:rPr>
          <w:rFonts w:eastAsia="MS Mincho"/>
        </w:rPr>
      </w:pPr>
      <w:r>
        <w:t>Études utilisant des méthodes expérimentales ou quasi</w:t>
      </w:r>
      <w:r w:rsidR="00A35C4D">
        <w:t xml:space="preserve"> </w:t>
      </w:r>
      <w:r>
        <w:t>expérimentales pour générer des preuves qui répondent à des questions critiques sur les stratégies de programmation de Mercy Corps, les questions politiques et les débats plus larges dans le secteur. Les études reposent presque toujours sur des données primaires</w:t>
      </w:r>
      <w:r w:rsidR="00A35C4D">
        <w:t>,</w:t>
      </w:r>
      <w:r>
        <w:t xml:space="preserve"> mais peuvent inclure des données provenant de sources secondaires. Dans tous les cas où des données quantitatives sont collectées, des tests statistiques de différence entre les groupes doivent être utilisés. Dans tous les cas, l</w:t>
      </w:r>
      <w:r w:rsidR="00A35C4D">
        <w:t>’</w:t>
      </w:r>
      <w:r>
        <w:t>étude doit être conçue de manière à déterminer rigoureusement si les différences statistiques observées entre le groupe traité et le groupe contrefactuel sont attribuables à une ou plusieurs interventions.</w:t>
      </w:r>
      <w:r>
        <w:rPr>
          <w:b/>
        </w:rPr>
        <w:t xml:space="preserve"> </w:t>
      </w:r>
      <w:r>
        <w:t>Les composantes et activités de cette catégorie comprennent, entre autres, l</w:t>
      </w:r>
      <w:r w:rsidR="00A35C4D">
        <w:t>’</w:t>
      </w:r>
      <w:r>
        <w:t>élaboration de la conception et du protocole de l</w:t>
      </w:r>
      <w:r w:rsidR="00A35C4D">
        <w:t>’</w:t>
      </w:r>
      <w:r>
        <w:t>étude (y compris les instruments d</w:t>
      </w:r>
      <w:r w:rsidR="00A35C4D">
        <w:t>’</w:t>
      </w:r>
      <w:r>
        <w:t>étude et l</w:t>
      </w:r>
      <w:r w:rsidR="00A35C4D">
        <w:t>’</w:t>
      </w:r>
      <w:r>
        <w:t>échantillonnage), l</w:t>
      </w:r>
      <w:r w:rsidR="00A35C4D">
        <w:t>’</w:t>
      </w:r>
      <w:r>
        <w:t>obtention de l</w:t>
      </w:r>
      <w:r w:rsidR="00A35C4D">
        <w:t>’</w:t>
      </w:r>
      <w:r>
        <w:t>approbation du IRB, la logistique et la gestion/supervision du travail sur le terrain, la préparation des tablettes/téléphones pour la collecte des données, la collecte des données, la formation, la gestion des données, les guides de codage, le plan d</w:t>
      </w:r>
      <w:r w:rsidR="00A35C4D">
        <w:t>’</w:t>
      </w:r>
      <w:r>
        <w:t>analyse statistique, l</w:t>
      </w:r>
      <w:r w:rsidR="00A35C4D">
        <w:t>’</w:t>
      </w:r>
      <w:r>
        <w:t>analyse, l</w:t>
      </w:r>
      <w:r w:rsidR="00A35C4D">
        <w:t>’</w:t>
      </w:r>
      <w:r>
        <w:t>élaboration du matériel de formation et l</w:t>
      </w:r>
      <w:r w:rsidR="00A35C4D">
        <w:t>’</w:t>
      </w:r>
      <w:r>
        <w:t>organisation de la formation relative aux études, les analyses documentaires, la rédaction de rapports/manuscrits/résumés et le matériel de présentation/apprentissage.</w:t>
      </w:r>
    </w:p>
    <w:p w:rsidRPr="00875A14" w:rsidR="00073D22" w:rsidP="005C255F" w:rsidRDefault="00073D22" w14:paraId="23A1619A" w14:textId="309ADE2A">
      <w:pPr>
        <w:spacing w:line="240" w:lineRule="auto"/>
      </w:pPr>
    </w:p>
    <w:p w:rsidR="00073D22" w:rsidP="005C255F" w:rsidRDefault="7A1E433A" w14:paraId="4AB3583C" w14:textId="2AE8AC84">
      <w:pPr>
        <w:pStyle w:val="ListParagraph"/>
        <w:numPr>
          <w:ilvl w:val="0"/>
          <w:numId w:val="20"/>
        </w:numPr>
        <w:spacing w:line="240" w:lineRule="auto"/>
        <w:rPr>
          <w:b/>
          <w:bCs/>
          <w:color w:val="4F81BD" w:themeColor="accent1"/>
        </w:rPr>
      </w:pPr>
      <w:r>
        <w:rPr>
          <w:b/>
          <w:color w:val="4F80BD"/>
        </w:rPr>
        <w:t>Évaluations de programmes, évaluations à mi-parcours et études de base/finales</w:t>
      </w:r>
    </w:p>
    <w:p w:rsidRPr="00875A14" w:rsidR="00073D22" w:rsidP="005C255F" w:rsidRDefault="16A3FAA0" w14:paraId="6374DE33" w14:textId="5E42FDB7">
      <w:pPr>
        <w:spacing w:after="0" w:line="240" w:lineRule="auto"/>
        <w:rPr>
          <w:rFonts w:eastAsia="MS Mincho"/>
        </w:rPr>
      </w:pPr>
      <w:r>
        <w:t>Les évaluations de programme, également appelées évaluations de performance ou évaluations à mi-parcours/finales, sont conçues pour déterminer si un programme de Mercy Corps a atteint ses objectifs de performance (produits et résultats) pendant toute la durée du projet/programme. Ils identifient également les facteurs qui ont influencé la réalisation (ou non) des objectifs, si des hypothèses ont été retenues, et si et comment le programme a changé par rapport à sa conception initiale au cours de sa durée de vie. Les évaluations de programmes sont toujours des méthodes mixtes utilisant (a) les données de suivi du système de M&amp;E (b) les plans de travail du programme et (c) des données qualitatives primaires</w:t>
      </w:r>
      <w:r w:rsidR="00A35C4D">
        <w:t> </w:t>
      </w:r>
      <w:r>
        <w:t>; elles peuvent également inclure des données quantitatives primaires. Il ne s</w:t>
      </w:r>
      <w:r w:rsidR="00A35C4D">
        <w:t>’</w:t>
      </w:r>
      <w:r>
        <w:t>agit pas d</w:t>
      </w:r>
      <w:r w:rsidR="00A35C4D">
        <w:t>’</w:t>
      </w:r>
      <w:r>
        <w:t>évaluations d</w:t>
      </w:r>
      <w:r w:rsidR="00A35C4D">
        <w:t>’</w:t>
      </w:r>
      <w:r>
        <w:t>impact (elles n</w:t>
      </w:r>
      <w:r w:rsidR="00A35C4D">
        <w:t>’</w:t>
      </w:r>
      <w:r>
        <w:t>ont donc pas de groupes de comparaison/contrôle), mais elles tentent d</w:t>
      </w:r>
      <w:r w:rsidR="00A35C4D">
        <w:t>’</w:t>
      </w:r>
      <w:r>
        <w:t>identifier s</w:t>
      </w:r>
      <w:r w:rsidR="00A35C4D">
        <w:t>’</w:t>
      </w:r>
      <w:r>
        <w:t>il existe des preuves plausibles que les interventions du programme ont contribué aux changements observés dans les résultats escomptés. . Les activités de cette catégorie peuvent inclure, sans s</w:t>
      </w:r>
      <w:r w:rsidR="00A35C4D">
        <w:t>’</w:t>
      </w:r>
      <w:r>
        <w:t>y limiter, la conception de l</w:t>
      </w:r>
      <w:r w:rsidR="00A35C4D">
        <w:t>’</w:t>
      </w:r>
      <w:r>
        <w:t>étude, les instruments de l</w:t>
      </w:r>
      <w:r w:rsidR="00A35C4D">
        <w:t>’</w:t>
      </w:r>
      <w:r>
        <w:t>étude, l</w:t>
      </w:r>
      <w:r w:rsidR="00A35C4D">
        <w:t>’</w:t>
      </w:r>
      <w:r>
        <w:t>échantillonnage, la logistique et la gestion/supervision du travail sur le terrain, la collecte des données, le contrôle de la qualité des données, la formation, la gestion des données, les guides de codage, la préparation des tablettes/téléphones pour la saisie des données, le plan d</w:t>
      </w:r>
      <w:r w:rsidR="00A35C4D">
        <w:t>’</w:t>
      </w:r>
      <w:r>
        <w:t>analyse, l</w:t>
      </w:r>
      <w:r w:rsidR="00A35C4D">
        <w:t>’</w:t>
      </w:r>
      <w:r>
        <w:t>analyse, l</w:t>
      </w:r>
      <w:r w:rsidR="00A35C4D">
        <w:t>’</w:t>
      </w:r>
      <w:r>
        <w:t>examen/synthèse des documents, l</w:t>
      </w:r>
      <w:r w:rsidR="00A35C4D">
        <w:t>’</w:t>
      </w:r>
      <w:r>
        <w:t>élaboration de matériel de formation et l</w:t>
      </w:r>
      <w:r w:rsidR="00A35C4D">
        <w:t>’</w:t>
      </w:r>
      <w:r>
        <w:t>organisation de formations relatives aux études/évaluations, la rédaction de rapports et de présentations/matériels d</w:t>
      </w:r>
      <w:r w:rsidR="00A35C4D">
        <w:t>’</w:t>
      </w:r>
      <w:r>
        <w:t>apprentissage.</w:t>
      </w:r>
    </w:p>
    <w:p w:rsidRPr="00875A14" w:rsidR="00073D22" w:rsidP="005C255F" w:rsidRDefault="00073D22" w14:paraId="30453CF6" w14:textId="7907D6A8">
      <w:pPr>
        <w:spacing w:line="240" w:lineRule="auto"/>
      </w:pPr>
    </w:p>
    <w:p w:rsidR="00073D22" w:rsidP="005C255F" w:rsidRDefault="3CE7E81F" w14:paraId="18CF14B2" w14:textId="5E52A943">
      <w:pPr>
        <w:pStyle w:val="ListParagraph"/>
        <w:numPr>
          <w:ilvl w:val="0"/>
          <w:numId w:val="20"/>
        </w:numPr>
        <w:spacing w:line="240" w:lineRule="auto"/>
        <w:rPr>
          <w:b/>
          <w:bCs/>
          <w:color w:val="4F81BD" w:themeColor="accent1"/>
        </w:rPr>
      </w:pPr>
      <w:r>
        <w:rPr>
          <w:b/>
          <w:color w:val="4F81BD" w:themeColor="accent1"/>
        </w:rPr>
        <w:t>Études formatives (y compris les évaluations de l</w:t>
      </w:r>
      <w:r w:rsidR="00A35C4D">
        <w:rPr>
          <w:b/>
          <w:color w:val="4F81BD" w:themeColor="accent1"/>
        </w:rPr>
        <w:t>’</w:t>
      </w:r>
      <w:r>
        <w:rPr>
          <w:b/>
          <w:color w:val="4F81BD" w:themeColor="accent1"/>
        </w:rPr>
        <w:t>égalité des sexes et de l</w:t>
      </w:r>
      <w:r w:rsidR="00A35C4D">
        <w:rPr>
          <w:b/>
          <w:color w:val="4F81BD" w:themeColor="accent1"/>
        </w:rPr>
        <w:t>’</w:t>
      </w:r>
      <w:r>
        <w:rPr>
          <w:b/>
          <w:color w:val="4F81BD" w:themeColor="accent1"/>
        </w:rPr>
        <w:t>inclusion sociale, les analyses de l</w:t>
      </w:r>
      <w:r w:rsidR="00A35C4D">
        <w:rPr>
          <w:b/>
          <w:color w:val="4F81BD" w:themeColor="accent1"/>
        </w:rPr>
        <w:t>’</w:t>
      </w:r>
      <w:r>
        <w:rPr>
          <w:b/>
          <w:color w:val="4F81BD" w:themeColor="accent1"/>
        </w:rPr>
        <w:t>économie politique et les évaluations des systèmes de marché)</w:t>
      </w:r>
    </w:p>
    <w:p w:rsidRPr="00875A14" w:rsidR="00073D22" w:rsidP="005C255F" w:rsidRDefault="18836A4C" w14:paraId="49FD178B" w14:textId="3724676F">
      <w:pPr>
        <w:spacing w:after="0" w:line="240" w:lineRule="auto"/>
      </w:pPr>
      <w:r>
        <w:t>Les études formatives pour Mercy Corps sont destinées à fournir un aperçu des phénomènes sociaux ou des nuances contextuelles afin d</w:t>
      </w:r>
      <w:r w:rsidR="00A35C4D">
        <w:t>’</w:t>
      </w:r>
      <w:r>
        <w:t>éclairer la façon dont Mercy Corps, les organisations homologues, les donateurs ou d</w:t>
      </w:r>
      <w:r w:rsidR="00A35C4D">
        <w:t>’</w:t>
      </w:r>
      <w:r>
        <w:t>autres investissent dans des interventions conçues pour relever les défis humanitaires et de développement critiques. L</w:t>
      </w:r>
      <w:r w:rsidR="00A35C4D">
        <w:t>’</w:t>
      </w:r>
      <w:r>
        <w:t>objectif de ces études formatives est de combler les lacunes dans les connaissances nécessaires à la recherche, à l</w:t>
      </w:r>
      <w:r w:rsidR="00A35C4D">
        <w:t>’</w:t>
      </w:r>
      <w:r>
        <w:t xml:space="preserve">apprentissage et à la gestion adaptative. Ces études sont généralement transversales et utilisent des méthodes mixtes ou exclusivement qualitatives. En particulier, nous sommes intéressés par des entreprises </w:t>
      </w:r>
      <w:r>
        <w:t>ayant une expertise dans la conduite d</w:t>
      </w:r>
      <w:r w:rsidR="00A35C4D">
        <w:t>’</w:t>
      </w:r>
      <w:r>
        <w:t>analyses sur l</w:t>
      </w:r>
      <w:r w:rsidR="00A35C4D">
        <w:t>’</w:t>
      </w:r>
      <w:r>
        <w:t>égalité des sexes et l</w:t>
      </w:r>
      <w:r w:rsidR="00A35C4D">
        <w:t>’</w:t>
      </w:r>
      <w:r>
        <w:t>inclusion sociale, d</w:t>
      </w:r>
      <w:r w:rsidR="00A35C4D">
        <w:t>’</w:t>
      </w:r>
      <w:r>
        <w:t>analyses de l</w:t>
      </w:r>
      <w:r w:rsidR="00A35C4D">
        <w:t>’</w:t>
      </w:r>
      <w:r>
        <w:t>économie politique et d</w:t>
      </w:r>
      <w:r w:rsidR="00A35C4D">
        <w:t>’</w:t>
      </w:r>
      <w:r>
        <w:t>évaluations des systèmes de marché.</w:t>
      </w:r>
    </w:p>
    <w:p w:rsidR="0394CC94" w:rsidP="005C255F" w:rsidRDefault="0394CC94" w14:paraId="5BEFDD00" w14:textId="43AF4649">
      <w:pPr>
        <w:spacing w:line="240" w:lineRule="auto"/>
      </w:pPr>
    </w:p>
    <w:p w:rsidRPr="001A278B" w:rsidR="00796B4A" w:rsidP="005C255F" w:rsidRDefault="00796B4A" w14:paraId="4CF2C3ED" w14:textId="0AA0D782">
      <w:pPr>
        <w:spacing w:line="240" w:lineRule="auto"/>
        <w:rPr>
          <w:b/>
          <w:bCs/>
        </w:rPr>
      </w:pPr>
      <w:r>
        <w:rPr>
          <w:b/>
        </w:rPr>
        <w:t>Les normes de travail qui s</w:t>
      </w:r>
      <w:r w:rsidR="00A35C4D">
        <w:rPr>
          <w:b/>
        </w:rPr>
        <w:t>’</w:t>
      </w:r>
      <w:r>
        <w:rPr>
          <w:b/>
        </w:rPr>
        <w:t>appliquent à toutes les catégories de services sont les suivantes</w:t>
      </w:r>
    </w:p>
    <w:p w:rsidRPr="00167D4E" w:rsidR="004C4B2F" w:rsidP="005C255F" w:rsidRDefault="004C4B2F" w14:paraId="754DC54F" w14:textId="577842F5">
      <w:pPr>
        <w:spacing w:line="240" w:lineRule="auto"/>
        <w:rPr>
          <w:b/>
          <w:bCs/>
          <w:color w:val="4F81BD" w:themeColor="accent1"/>
        </w:rPr>
      </w:pPr>
      <w:r>
        <w:rPr>
          <w:b/>
          <w:color w:val="4F81BD" w:themeColor="accent1"/>
        </w:rPr>
        <w:t>Connaissances et expérience</w:t>
      </w:r>
      <w:r w:rsidR="00A35C4D">
        <w:rPr>
          <w:b/>
          <w:color w:val="4F81BD" w:themeColor="accent1"/>
        </w:rPr>
        <w:t> </w:t>
      </w:r>
      <w:r>
        <w:rPr>
          <w:b/>
          <w:color w:val="4F81BD" w:themeColor="accent1"/>
        </w:rPr>
        <w:t>:</w:t>
      </w:r>
    </w:p>
    <w:p w:rsidRPr="00A3431F" w:rsidR="00A3431F" w:rsidP="005C255F" w:rsidRDefault="00A3431F" w14:paraId="6A101D0A" w14:textId="0E3B150C">
      <w:pPr>
        <w:pStyle w:val="ListParagraph"/>
        <w:numPr>
          <w:ilvl w:val="0"/>
          <w:numId w:val="10"/>
        </w:numPr>
        <w:spacing w:line="240" w:lineRule="auto"/>
      </w:pPr>
      <w:r>
        <w:t>Connaissances théoriques et expérience pratique en matière de suivi, d</w:t>
      </w:r>
      <w:r w:rsidR="00A35C4D">
        <w:t>’</w:t>
      </w:r>
      <w:r>
        <w:t>évaluation, de formation, d</w:t>
      </w:r>
      <w:r w:rsidR="00A35C4D">
        <w:t>’</w:t>
      </w:r>
      <w:r>
        <w:t xml:space="preserve">apprentissage et de gestion adaptative ou de science de la mise en œuvre (recherche fondée), en rapport avec les catégories pour lesquelles vous êtes approuvé et soumettez des propositions.  </w:t>
      </w:r>
    </w:p>
    <w:p w:rsidRPr="00A3431F" w:rsidR="00A3431F" w:rsidP="005C255F" w:rsidRDefault="00A3431F" w14:paraId="627DCC64" w14:textId="7E66B66C">
      <w:pPr>
        <w:pStyle w:val="ListParagraph"/>
        <w:numPr>
          <w:ilvl w:val="0"/>
          <w:numId w:val="10"/>
        </w:numPr>
        <w:spacing w:line="240" w:lineRule="auto"/>
      </w:pPr>
      <w:r>
        <w:t xml:space="preserve">Connaissance des principaux aspects de la mise en œuvre et de la documentation des programmes humanitaires et de développement  </w:t>
      </w:r>
    </w:p>
    <w:p w:rsidRPr="00A3431F" w:rsidR="00A3431F" w:rsidP="005C255F" w:rsidRDefault="00A3431F" w14:paraId="0085B414" w14:textId="6A50E51F">
      <w:pPr>
        <w:pStyle w:val="ListParagraph"/>
        <w:numPr>
          <w:ilvl w:val="0"/>
          <w:numId w:val="10"/>
        </w:numPr>
        <w:spacing w:line="240" w:lineRule="auto"/>
      </w:pPr>
      <w:r>
        <w:t xml:space="preserve">Capacité avérée à formuler des recommandations programmatiques à partir de données </w:t>
      </w:r>
    </w:p>
    <w:p w:rsidRPr="00A3431F" w:rsidR="00A3431F" w:rsidP="005C255F" w:rsidRDefault="00A3431F" w14:paraId="2F63A5FB" w14:textId="67ACECEC">
      <w:pPr>
        <w:pStyle w:val="ListParagraph"/>
        <w:numPr>
          <w:ilvl w:val="0"/>
          <w:numId w:val="10"/>
        </w:numPr>
        <w:spacing w:line="240" w:lineRule="auto"/>
      </w:pPr>
      <w:r>
        <w:t>Capacité à conceptualiser, planifier et mettre en œuvre des activités de suivi, d</w:t>
      </w:r>
      <w:r w:rsidR="00A35C4D">
        <w:t>’</w:t>
      </w:r>
      <w:r>
        <w:t>évaluation, d</w:t>
      </w:r>
      <w:r w:rsidR="00A35C4D">
        <w:t>’</w:t>
      </w:r>
      <w:r>
        <w:t>apprentissage, de formation et/ou de recherche dans des pays fragiles confrontés à des crises complexes, ainsi que capacité à analyser les données et à utiliser les enseignements tirés pour l</w:t>
      </w:r>
      <w:r w:rsidR="00A35C4D">
        <w:t>’</w:t>
      </w:r>
      <w:r>
        <w:t>amélioration continue de la mise en œuvre des programmes et pour promouvoir une culture de l</w:t>
      </w:r>
      <w:r w:rsidR="00A35C4D">
        <w:t>’</w:t>
      </w:r>
      <w:r>
        <w:t xml:space="preserve">apprentissage. </w:t>
      </w:r>
    </w:p>
    <w:p w:rsidR="004C4B2F" w:rsidP="005C255F" w:rsidRDefault="00A3431F" w14:paraId="54087500" w14:textId="04AF3C9D">
      <w:pPr>
        <w:pStyle w:val="ListParagraph"/>
        <w:numPr>
          <w:ilvl w:val="0"/>
          <w:numId w:val="10"/>
        </w:numPr>
        <w:spacing w:line="240" w:lineRule="auto"/>
      </w:pPr>
      <w:r>
        <w:t>Engagement en faveur du renforcement des capacités</w:t>
      </w:r>
    </w:p>
    <w:p w:rsidRPr="00167D4E" w:rsidR="00A3431F" w:rsidP="005C255F" w:rsidRDefault="00A3431F" w14:paraId="68BB4BA5" w14:textId="7009FA17">
      <w:pPr>
        <w:spacing w:line="240" w:lineRule="auto"/>
        <w:rPr>
          <w:b/>
          <w:bCs/>
          <w:color w:val="4F81BD" w:themeColor="accent1"/>
        </w:rPr>
      </w:pPr>
      <w:r>
        <w:rPr>
          <w:b/>
          <w:color w:val="4F81BD" w:themeColor="accent1"/>
        </w:rPr>
        <w:t>Leadership technique</w:t>
      </w:r>
      <w:r w:rsidR="00A35C4D">
        <w:rPr>
          <w:b/>
          <w:color w:val="4F81BD" w:themeColor="accent1"/>
        </w:rPr>
        <w:t> </w:t>
      </w:r>
      <w:r>
        <w:rPr>
          <w:b/>
          <w:color w:val="4F81BD" w:themeColor="accent1"/>
        </w:rPr>
        <w:t>:</w:t>
      </w:r>
    </w:p>
    <w:p w:rsidR="00A3431F" w:rsidP="005C255F" w:rsidRDefault="00A3431F" w14:paraId="7451DADF" w14:textId="77777777">
      <w:pPr>
        <w:pStyle w:val="ListParagraph"/>
        <w:numPr>
          <w:ilvl w:val="0"/>
          <w:numId w:val="9"/>
        </w:numPr>
        <w:spacing w:line="240" w:lineRule="auto"/>
      </w:pPr>
      <w:r>
        <w:t>Garantir le respect des meilleures pratiques en matière de MEL et de recherche</w:t>
      </w:r>
    </w:p>
    <w:p w:rsidR="0088636B" w:rsidP="005C255F" w:rsidRDefault="00A3431F" w14:paraId="49D63240" w14:textId="3A134EDB">
      <w:pPr>
        <w:pStyle w:val="ListParagraph"/>
        <w:numPr>
          <w:ilvl w:val="0"/>
          <w:numId w:val="9"/>
        </w:numPr>
        <w:spacing w:line="240" w:lineRule="auto"/>
      </w:pPr>
      <w:r>
        <w:t>Faciliter les liens entre les équipes du programme et de la MEL pendant l</w:t>
      </w:r>
      <w:r w:rsidR="00A35C4D">
        <w:t>’</w:t>
      </w:r>
      <w:r>
        <w:t>exécution des contrats afin de garantir que les données sont analysées et utilisées à des fins d</w:t>
      </w:r>
      <w:r w:rsidR="00A35C4D">
        <w:t>’</w:t>
      </w:r>
      <w:r>
        <w:t>apprentissage.</w:t>
      </w:r>
    </w:p>
    <w:p w:rsidRPr="00167D4E" w:rsidR="0088636B" w:rsidP="005C255F" w:rsidRDefault="00B54311" w14:paraId="0C3AB90B" w14:textId="11C4F6FC">
      <w:pPr>
        <w:spacing w:line="240" w:lineRule="auto"/>
        <w:rPr>
          <w:b/>
          <w:bCs/>
          <w:color w:val="4F81BD" w:themeColor="accent1"/>
        </w:rPr>
      </w:pPr>
      <w:r>
        <w:rPr>
          <w:b/>
          <w:color w:val="4F81BD" w:themeColor="accent1"/>
        </w:rPr>
        <w:t>Compétences et capacités</w:t>
      </w:r>
      <w:r w:rsidR="00A35C4D">
        <w:rPr>
          <w:b/>
          <w:color w:val="4F81BD" w:themeColor="accent1"/>
        </w:rPr>
        <w:t> </w:t>
      </w:r>
      <w:r>
        <w:rPr>
          <w:b/>
          <w:color w:val="4F81BD" w:themeColor="accent1"/>
        </w:rPr>
        <w:t>:</w:t>
      </w:r>
    </w:p>
    <w:p w:rsidRPr="00B54311" w:rsidR="00B54311" w:rsidP="005C255F" w:rsidRDefault="00B54311" w14:paraId="0DC72283" w14:textId="64697528">
      <w:pPr>
        <w:pStyle w:val="ListParagraph"/>
        <w:numPr>
          <w:ilvl w:val="0"/>
          <w:numId w:val="11"/>
        </w:numPr>
        <w:spacing w:line="240" w:lineRule="auto"/>
      </w:pPr>
      <w:r>
        <w:t>Promouvoir une culture de l</w:t>
      </w:r>
      <w:r w:rsidR="00A35C4D">
        <w:t>’</w:t>
      </w:r>
      <w:r>
        <w:t>apprentissage par l</w:t>
      </w:r>
      <w:r w:rsidR="00A35C4D">
        <w:t>’</w:t>
      </w:r>
      <w:r>
        <w:t>analyse et la réflexion systématiques des données relatives aux programmes et à la recherche.</w:t>
      </w:r>
    </w:p>
    <w:p w:rsidRPr="00B54311" w:rsidR="00B54311" w:rsidP="005C255F" w:rsidRDefault="00B54311" w14:paraId="7738E153" w14:textId="3CC06669">
      <w:pPr>
        <w:pStyle w:val="ListParagraph"/>
        <w:numPr>
          <w:ilvl w:val="0"/>
          <w:numId w:val="11"/>
        </w:numPr>
        <w:spacing w:line="240" w:lineRule="auto"/>
      </w:pPr>
      <w:r>
        <w:t>Formation en cours d</w:t>
      </w:r>
      <w:r w:rsidR="00A35C4D">
        <w:t>’</w:t>
      </w:r>
      <w:r>
        <w:t xml:space="preserve">emploi et mentorat pendant la mise en œuvre du contrat  </w:t>
      </w:r>
    </w:p>
    <w:p w:rsidRPr="00317338" w:rsidR="00A3431F" w:rsidP="005C255F" w:rsidRDefault="00B54311" w14:paraId="4FF55EBC" w14:textId="3C258CAE">
      <w:pPr>
        <w:pStyle w:val="ListParagraph"/>
        <w:numPr>
          <w:ilvl w:val="0"/>
          <w:numId w:val="11"/>
        </w:numPr>
        <w:spacing w:line="240" w:lineRule="auto"/>
      </w:pPr>
      <w:r>
        <w:t>Contribuer et collaborer activement avec les homologues régionaux et mondiaux afin de promouvoir l</w:t>
      </w:r>
      <w:r w:rsidR="00A35C4D">
        <w:t>’</w:t>
      </w:r>
      <w:r>
        <w:t>utilisation de la MEL et de rechercher les meilleures pratiques.</w:t>
      </w:r>
    </w:p>
    <w:p w:rsidRPr="009C1716" w:rsidR="00766748" w:rsidP="005C255F" w:rsidRDefault="009C1716" w14:paraId="7E7EE952" w14:textId="26ECB5BD">
      <w:pPr>
        <w:pStyle w:val="Heading1"/>
      </w:pPr>
      <w:bookmarkStart w:name="_Toc148097432" w:id="9"/>
      <w:r>
        <w:t>2. Instructions relatives à l</w:t>
      </w:r>
      <w:r w:rsidR="00A35C4D">
        <w:t>’</w:t>
      </w:r>
      <w:r>
        <w:t>appel d</w:t>
      </w:r>
      <w:r w:rsidR="00A35C4D">
        <w:t>’</w:t>
      </w:r>
      <w:r>
        <w:t>offres</w:t>
      </w:r>
      <w:bookmarkEnd w:id="9"/>
      <w:r>
        <w:tab/>
      </w:r>
      <w:r>
        <w:tab/>
      </w:r>
    </w:p>
    <w:p w:rsidRPr="009C1716" w:rsidR="00766748" w:rsidP="005C255F" w:rsidRDefault="009C1716" w14:paraId="65C9E46D" w14:textId="4CBA4526">
      <w:pPr>
        <w:pStyle w:val="Heading2"/>
        <w:spacing w:before="240" w:line="240" w:lineRule="auto"/>
        <w:rPr>
          <w:i/>
        </w:rPr>
      </w:pPr>
      <w:bookmarkStart w:name="_987vb7u2xyht" w:id="10"/>
      <w:bookmarkStart w:name="_Toc148097433" w:id="11"/>
      <w:bookmarkEnd w:id="10"/>
      <w:r>
        <w:t>2.1 Calendrier</w:t>
      </w:r>
      <w:bookmarkEnd w:id="11"/>
    </w:p>
    <w:p w:rsidRPr="00464E54" w:rsidR="009C1716" w:rsidP="005C255F" w:rsidRDefault="004C5E14" w14:paraId="084330C6" w14:textId="601AC4AC">
      <w:pPr>
        <w:spacing w:line="240" w:lineRule="auto"/>
      </w:pPr>
      <w:r>
        <w:t>Le calendrier de la procédure d</w:t>
      </w:r>
      <w:r w:rsidR="00A35C4D">
        <w:t>’</w:t>
      </w:r>
      <w:r>
        <w:t>appel d</w:t>
      </w:r>
      <w:r w:rsidR="00A35C4D">
        <w:t>’</w:t>
      </w:r>
      <w:r>
        <w:t>offres de présélection est le suivant</w:t>
      </w:r>
      <w:r w:rsidR="00A35C4D">
        <w:t> </w:t>
      </w:r>
      <w:r>
        <w:t>; toutes les dates sont susceptibles d</w:t>
      </w:r>
      <w:r w:rsidR="00A35C4D">
        <w:t>’</w:t>
      </w:r>
      <w:r>
        <w:t>être modifiées.</w:t>
      </w:r>
    </w:p>
    <w:tbl>
      <w:tblPr>
        <w:tblW w:w="873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015"/>
        <w:gridCol w:w="2715"/>
      </w:tblGrid>
      <w:tr w:rsidRPr="00464E54" w:rsidR="00766748" w:rsidTr="01568136" w14:paraId="00639316" w14:textId="77777777">
        <w:trPr>
          <w:trHeight w:val="276"/>
        </w:trPr>
        <w:tc>
          <w:tcPr>
            <w:tcW w:w="6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cMar>
              <w:top w:w="100" w:type="dxa"/>
              <w:left w:w="100" w:type="dxa"/>
              <w:bottom w:w="100" w:type="dxa"/>
              <w:right w:w="100" w:type="dxa"/>
            </w:tcMar>
            <w:vAlign w:val="bottom"/>
          </w:tcPr>
          <w:p w:rsidRPr="00312880" w:rsidR="00766748" w:rsidP="005C255F" w:rsidRDefault="009C1716" w14:paraId="04B3FDC2" w14:textId="419592EC">
            <w:pPr>
              <w:spacing w:after="0" w:line="240" w:lineRule="auto"/>
              <w:rPr>
                <w:b/>
                <w:bCs/>
                <w:sz w:val="24"/>
                <w:szCs w:val="24"/>
              </w:rPr>
            </w:pPr>
            <w:r>
              <w:rPr>
                <w:b/>
                <w:sz w:val="24"/>
              </w:rPr>
              <w:t>Activité</w:t>
            </w:r>
          </w:p>
        </w:tc>
        <w:tc>
          <w:tcPr>
            <w:tcW w:w="2715" w:type="dxa"/>
            <w:tcBorders>
              <w:top w:val="single" w:color="000000" w:themeColor="text1" w:sz="8" w:space="0"/>
              <w:left w:val="nil"/>
              <w:bottom w:val="single" w:color="000000" w:themeColor="text1" w:sz="8" w:space="0"/>
              <w:right w:val="single" w:color="000000" w:themeColor="text1" w:sz="8" w:space="0"/>
            </w:tcBorders>
            <w:shd w:val="clear" w:color="auto" w:fill="D0CECE"/>
            <w:tcMar>
              <w:top w:w="100" w:type="dxa"/>
              <w:left w:w="100" w:type="dxa"/>
              <w:bottom w:w="100" w:type="dxa"/>
              <w:right w:w="100" w:type="dxa"/>
            </w:tcMar>
            <w:vAlign w:val="bottom"/>
          </w:tcPr>
          <w:p w:rsidRPr="00312880" w:rsidR="00766748" w:rsidP="005C255F" w:rsidRDefault="004C5E14" w14:paraId="081A9F72" w14:textId="77777777">
            <w:pPr>
              <w:spacing w:after="0" w:line="240" w:lineRule="auto"/>
              <w:rPr>
                <w:b/>
                <w:bCs/>
                <w:sz w:val="24"/>
                <w:szCs w:val="24"/>
              </w:rPr>
            </w:pPr>
            <w:r>
              <w:rPr>
                <w:b/>
                <w:sz w:val="24"/>
              </w:rPr>
              <w:t>Date</w:t>
            </w:r>
          </w:p>
        </w:tc>
      </w:tr>
      <w:tr w:rsidRPr="00464E54" w:rsidR="00766748" w:rsidTr="01568136" w14:paraId="56F338E5"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5C255F" w:rsidRDefault="004C5E14" w14:paraId="070E6F17" w14:textId="7DF7EF12">
            <w:pPr>
              <w:spacing w:after="0" w:line="240" w:lineRule="auto"/>
            </w:pPr>
            <w:r>
              <w:t>Publication d</w:t>
            </w:r>
            <w:r w:rsidR="00A35C4D">
              <w:t>’</w:t>
            </w:r>
            <w:r>
              <w:t>une demande de qualification</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5C255F" w:rsidRDefault="000372A2" w14:paraId="4FC86C65" w14:textId="21CE1FDA">
            <w:pPr>
              <w:spacing w:after="0" w:line="240" w:lineRule="auto"/>
            </w:pPr>
            <w:r w:rsidR="1B64CFE3">
              <w:rPr/>
              <w:t>2</w:t>
            </w:r>
            <w:r w:rsidR="178B9AA2">
              <w:rPr/>
              <w:t>5</w:t>
            </w:r>
            <w:r w:rsidR="00A35C4D">
              <w:rPr/>
              <w:t> </w:t>
            </w:r>
            <w:r w:rsidR="1B64CFE3">
              <w:rPr/>
              <w:t>octobre 2023</w:t>
            </w:r>
          </w:p>
        </w:tc>
      </w:tr>
      <w:tr w:rsidRPr="00464E54" w:rsidR="00766748" w:rsidTr="01568136" w14:paraId="1BE9358A"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5C255F" w:rsidRDefault="004C5E14" w14:paraId="4BDA8E6B" w14:textId="77777777">
            <w:pPr>
              <w:spacing w:after="0" w:line="240" w:lineRule="auto"/>
            </w:pPr>
            <w:r>
              <w:t>Date limite pour les questions</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5C255F" w:rsidRDefault="4032FF90" w14:paraId="1A9687EC" w14:textId="3330CCDD">
            <w:pPr>
              <w:spacing w:after="0" w:line="240" w:lineRule="auto"/>
            </w:pPr>
            <w:r w:rsidR="6C0E7F44">
              <w:rPr/>
              <w:t>1 novembre</w:t>
            </w:r>
            <w:r w:rsidR="7F81FF72">
              <w:rPr/>
              <w:t xml:space="preserve"> 2023</w:t>
            </w:r>
          </w:p>
        </w:tc>
      </w:tr>
      <w:tr w:rsidRPr="00464E54" w:rsidR="00766748" w:rsidTr="01568136" w14:paraId="2308DD31"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5C255F" w:rsidRDefault="004C5E14" w14:paraId="5CB7A993" w14:textId="77777777">
            <w:pPr>
              <w:spacing w:after="0" w:line="240" w:lineRule="auto"/>
            </w:pPr>
            <w:r>
              <w:t>Mercy Corps fournira des réponses à toutes les questions</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5C255F" w:rsidRDefault="00F53B0C" w14:paraId="0CF16052" w14:textId="0E37CD6A">
            <w:pPr>
              <w:spacing w:after="0" w:line="240" w:lineRule="auto"/>
            </w:pPr>
            <w:r w:rsidR="69665BE5">
              <w:rPr/>
              <w:t xml:space="preserve">3 </w:t>
            </w:r>
            <w:r w:rsidR="0852C757">
              <w:rPr/>
              <w:t>novembre 2023</w:t>
            </w:r>
          </w:p>
        </w:tc>
      </w:tr>
      <w:tr w:rsidRPr="00464E54" w:rsidR="00766748" w:rsidTr="01568136" w14:paraId="7DF65DB9" w14:textId="77777777">
        <w:trPr>
          <w:trHeight w:val="332"/>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5C255F" w:rsidRDefault="004C5E14" w14:paraId="261A6B82" w14:textId="64FA63C5">
            <w:pPr>
              <w:spacing w:after="0" w:line="240" w:lineRule="auto"/>
            </w:pPr>
            <w:r>
              <w:t>Date limite pour la déclaration de qualification</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5C255F" w:rsidRDefault="00F53B0C" w14:paraId="5E9B115F" w14:textId="463A32F7">
            <w:pPr>
              <w:spacing w:after="0" w:line="240" w:lineRule="auto"/>
            </w:pPr>
            <w:r w:rsidR="5223EF0A">
              <w:rPr/>
              <w:t>29</w:t>
            </w:r>
            <w:r w:rsidR="00A35C4D">
              <w:rPr/>
              <w:t> </w:t>
            </w:r>
            <w:r w:rsidR="0852C757">
              <w:rPr/>
              <w:t>novembre</w:t>
            </w:r>
            <w:r w:rsidR="0852C757">
              <w:rPr/>
              <w:t xml:space="preserve"> 2023</w:t>
            </w:r>
          </w:p>
        </w:tc>
      </w:tr>
      <w:tr w:rsidRPr="00464E54" w:rsidR="00766748" w:rsidTr="01568136" w14:paraId="74BCE38C" w14:textId="77777777">
        <w:trPr>
          <w:trHeight w:val="350"/>
        </w:trPr>
        <w:tc>
          <w:tcPr>
            <w:tcW w:w="6015" w:type="dxa"/>
            <w:tcBorders>
              <w:top w:val="nil"/>
              <w:left w:val="single" w:color="000000" w:themeColor="text1" w:sz="8" w:space="0"/>
              <w:bottom w:val="single" w:color="auto" w:sz="4" w:space="0"/>
              <w:right w:val="single" w:color="000000" w:themeColor="text1" w:sz="8" w:space="0"/>
            </w:tcBorders>
            <w:tcMar>
              <w:top w:w="100" w:type="dxa"/>
              <w:left w:w="100" w:type="dxa"/>
              <w:bottom w:w="100" w:type="dxa"/>
              <w:right w:w="100" w:type="dxa"/>
            </w:tcMar>
            <w:vAlign w:val="bottom"/>
          </w:tcPr>
          <w:p w:rsidRPr="00464E54" w:rsidR="00766748" w:rsidP="005C255F" w:rsidRDefault="004C5E14" w14:paraId="6F7677D8" w14:textId="7BAC9B07">
            <w:pPr>
              <w:spacing w:after="0" w:line="240" w:lineRule="auto"/>
            </w:pPr>
            <w:r>
              <w:t>Annonce des fournisseurs préqualifiés (estimation)</w:t>
            </w:r>
          </w:p>
        </w:tc>
        <w:tc>
          <w:tcPr>
            <w:tcW w:w="2715" w:type="dxa"/>
            <w:tcBorders>
              <w:top w:val="nil"/>
              <w:left w:val="nil"/>
              <w:bottom w:val="single" w:color="auto" w:sz="4" w:space="0"/>
              <w:right w:val="single" w:color="000000" w:themeColor="text1" w:sz="8" w:space="0"/>
            </w:tcBorders>
            <w:tcMar>
              <w:top w:w="100" w:type="dxa"/>
              <w:left w:w="100" w:type="dxa"/>
              <w:bottom w:w="100" w:type="dxa"/>
              <w:right w:w="100" w:type="dxa"/>
            </w:tcMar>
            <w:vAlign w:val="bottom"/>
          </w:tcPr>
          <w:p w:rsidRPr="00946281" w:rsidR="00766748" w:rsidP="005C255F" w:rsidRDefault="00F53B0C" w14:paraId="2EE07A34" w14:textId="0E969B2D">
            <w:pPr>
              <w:spacing w:after="0" w:line="240" w:lineRule="auto"/>
            </w:pPr>
            <w:r>
              <w:t>Janvier 2024</w:t>
            </w:r>
          </w:p>
        </w:tc>
      </w:tr>
      <w:tr w:rsidRPr="00464E54" w:rsidR="002D4855" w:rsidTr="01568136" w14:paraId="2B29A921" w14:textId="77777777">
        <w:trPr>
          <w:trHeight w:val="340"/>
        </w:trPr>
        <w:tc>
          <w:tcPr>
            <w:tcW w:w="6015" w:type="dxa"/>
            <w:tcBorders>
              <w:top w:val="single" w:color="auto" w:sz="4"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2D4855" w:rsidP="005C255F" w:rsidRDefault="23B51292" w14:paraId="76A8DE3C" w14:textId="7B9CDB96">
            <w:pPr>
              <w:spacing w:after="0" w:line="240" w:lineRule="auto"/>
            </w:pPr>
            <w:r>
              <w:t>Date d</w:t>
            </w:r>
            <w:r w:rsidR="00A35C4D">
              <w:t>’</w:t>
            </w:r>
            <w:r>
              <w:t>entrée en vigueur du MER Pool préqualifié (estimation)</w:t>
            </w:r>
          </w:p>
        </w:tc>
        <w:tc>
          <w:tcPr>
            <w:tcW w:w="2715" w:type="dxa"/>
            <w:tcBorders>
              <w:top w:val="single" w:color="auto" w:sz="4" w:space="0"/>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2D4855" w:rsidP="005C255F" w:rsidRDefault="00F53B0C" w14:paraId="47628F8B" w14:textId="0EDD2EBF">
            <w:pPr>
              <w:spacing w:after="0" w:line="240" w:lineRule="auto"/>
            </w:pPr>
            <w:r w:rsidR="0852C757">
              <w:rPr/>
              <w:t>1</w:t>
            </w:r>
            <w:r w:rsidR="00A35C4D">
              <w:rPr/>
              <w:t>er </w:t>
            </w:r>
            <w:r w:rsidR="0852C757">
              <w:rPr/>
              <w:t>mars 2024</w:t>
            </w:r>
          </w:p>
        </w:tc>
      </w:tr>
    </w:tbl>
    <w:p w:rsidR="009C1716" w:rsidP="005C255F" w:rsidRDefault="009C1716" w14:paraId="294579A2" w14:textId="77777777">
      <w:pPr>
        <w:spacing w:line="240" w:lineRule="auto"/>
      </w:pPr>
      <w:bookmarkStart w:name="_8r3hdr5k8jht" w:id="12"/>
      <w:bookmarkEnd w:id="12"/>
    </w:p>
    <w:p w:rsidRPr="009C1716" w:rsidR="00766748" w:rsidP="005C255F" w:rsidRDefault="009C1716" w14:paraId="767570D6" w14:textId="63A0C229">
      <w:pPr>
        <w:pStyle w:val="Heading2"/>
        <w:spacing w:line="240" w:lineRule="auto"/>
        <w:rPr>
          <w:i/>
        </w:rPr>
      </w:pPr>
      <w:bookmarkStart w:name="_Toc148097434" w:id="13"/>
      <w:r>
        <w:t>2.2</w:t>
      </w:r>
      <w:r>
        <w:rPr>
          <w:i/>
        </w:rPr>
        <w:t xml:space="preserve"> E</w:t>
      </w:r>
      <w:r>
        <w:t>xigences en matière de soumission et format</w:t>
      </w:r>
      <w:bookmarkEnd w:id="13"/>
    </w:p>
    <w:p w:rsidR="006F66AF" w:rsidP="005C255F" w:rsidRDefault="004C5E14" w14:paraId="05412CBF" w14:textId="7AEF8F90">
      <w:pPr>
        <w:spacing w:line="240" w:lineRule="auto"/>
      </w:pPr>
      <w:r>
        <w:t>Mercy Corps acceptera les déclarations de qualification suivantes</w:t>
      </w:r>
      <w:r w:rsidR="00A35C4D">
        <w:t> </w:t>
      </w:r>
      <w:r>
        <w:t>:</w:t>
      </w:r>
    </w:p>
    <w:p w:rsidR="005C255F" w:rsidRDefault="005C255F" w14:paraId="75E8FF0C" w14:textId="77777777">
      <w:pPr>
        <w:jc w:val="left"/>
        <w:rPr>
          <w:b/>
          <w:sz w:val="28"/>
        </w:rPr>
      </w:pPr>
      <w:r>
        <w:rPr>
          <w:b/>
          <w:sz w:val="28"/>
        </w:rPr>
        <w:br w:type="page"/>
      </w:r>
    </w:p>
    <w:p w:rsidRPr="00822D1B" w:rsidR="00766748" w:rsidP="005C255F" w:rsidRDefault="31D833AD" w14:paraId="1276B117" w14:textId="1BF145E8">
      <w:pPr>
        <w:spacing w:before="240" w:line="240" w:lineRule="auto"/>
        <w:jc w:val="center"/>
        <w:rPr>
          <w:b w:val="1"/>
          <w:bCs w:val="1"/>
          <w:sz w:val="28"/>
          <w:szCs w:val="28"/>
        </w:rPr>
      </w:pPr>
      <w:r w:rsidRPr="01568136" w:rsidR="31D833AD">
        <w:rPr>
          <w:b w:val="1"/>
          <w:bCs w:val="1"/>
          <w:sz w:val="28"/>
          <w:szCs w:val="28"/>
        </w:rPr>
        <w:t>Date d</w:t>
      </w:r>
      <w:r w:rsidRPr="01568136" w:rsidR="00A35C4D">
        <w:rPr>
          <w:b w:val="1"/>
          <w:bCs w:val="1"/>
          <w:sz w:val="28"/>
          <w:szCs w:val="28"/>
        </w:rPr>
        <w:t>’</w:t>
      </w:r>
      <w:r w:rsidRPr="01568136" w:rsidR="31D833AD">
        <w:rPr>
          <w:b w:val="1"/>
          <w:bCs w:val="1"/>
          <w:sz w:val="28"/>
          <w:szCs w:val="28"/>
        </w:rPr>
        <w:t>échéance</w:t>
      </w:r>
      <w:r w:rsidRPr="01568136" w:rsidR="00A35C4D">
        <w:rPr>
          <w:b w:val="1"/>
          <w:bCs w:val="1"/>
          <w:sz w:val="28"/>
          <w:szCs w:val="28"/>
        </w:rPr>
        <w:t> </w:t>
      </w:r>
      <w:r w:rsidRPr="01568136" w:rsidR="31D833AD">
        <w:rPr>
          <w:b w:val="1"/>
          <w:bCs w:val="1"/>
          <w:sz w:val="28"/>
          <w:szCs w:val="28"/>
        </w:rPr>
        <w:t xml:space="preserve">: </w:t>
      </w:r>
      <w:r w:rsidRPr="01568136" w:rsidR="3DBF5C49">
        <w:rPr>
          <w:b w:val="1"/>
          <w:bCs w:val="1"/>
          <w:sz w:val="28"/>
          <w:szCs w:val="28"/>
        </w:rPr>
        <w:t>Mercredi 29 novembre 2023 à 17h PST</w:t>
      </w:r>
    </w:p>
    <w:p w:rsidR="00B3063A" w:rsidP="005C255F" w:rsidRDefault="4BC212B3" w14:paraId="269F0C8C" w14:textId="13BCB8B7">
      <w:pPr>
        <w:spacing w:line="240" w:lineRule="auto"/>
        <w:jc w:val="center"/>
        <w:rPr>
          <w:b w:val="1"/>
          <w:bCs w:val="1"/>
          <w:sz w:val="28"/>
          <w:szCs w:val="28"/>
        </w:rPr>
      </w:pPr>
      <w:r w:rsidRPr="5A4A324C" w:rsidR="4BC212B3">
        <w:rPr>
          <w:b w:val="1"/>
          <w:bCs w:val="1"/>
          <w:sz w:val="28"/>
          <w:szCs w:val="28"/>
        </w:rPr>
        <w:t xml:space="preserve">Soumissions par </w:t>
      </w:r>
      <w:r w:rsidRPr="5A4A324C" w:rsidR="4BC212B3">
        <w:rPr>
          <w:b w:val="1"/>
          <w:bCs w:val="1"/>
          <w:sz w:val="28"/>
          <w:szCs w:val="28"/>
        </w:rPr>
        <w:t>e-mail</w:t>
      </w:r>
      <w:r w:rsidRPr="5A4A324C" w:rsidR="4BC212B3">
        <w:rPr>
          <w:b w:val="1"/>
          <w:bCs w:val="1"/>
          <w:sz w:val="28"/>
          <w:szCs w:val="28"/>
        </w:rPr>
        <w:t xml:space="preserve"> :</w:t>
      </w:r>
      <w:r w:rsidRPr="5A4A324C" w:rsidR="4AD4FA21">
        <w:rPr>
          <w:b w:val="1"/>
          <w:bCs w:val="1"/>
          <w:sz w:val="28"/>
          <w:szCs w:val="28"/>
        </w:rPr>
        <w:t xml:space="preserve"> </w:t>
      </w:r>
      <w:hyperlink r:id="R82f866314f534f95">
        <w:r w:rsidRPr="5A4A324C" w:rsidR="48E046A6">
          <w:rPr>
            <w:rStyle w:val="Hyperlink"/>
            <w:b w:val="1"/>
            <w:bCs w:val="1"/>
            <w:sz w:val="28"/>
            <w:szCs w:val="28"/>
          </w:rPr>
          <w:t>tenders@mercycorps</w:t>
        </w:r>
        <w:r w:rsidRPr="5A4A324C" w:rsidR="48E046A6">
          <w:rPr>
            <w:rStyle w:val="Hyperlink"/>
            <w:b w:val="1"/>
            <w:bCs w:val="1"/>
            <w:sz w:val="28"/>
            <w:szCs w:val="28"/>
          </w:rPr>
          <w:t>.org</w:t>
        </w:r>
      </w:hyperlink>
      <w:r w:rsidRPr="5A4A324C" w:rsidR="48E046A6">
        <w:rPr>
          <w:b w:val="1"/>
          <w:bCs w:val="1"/>
          <w:sz w:val="28"/>
          <w:szCs w:val="28"/>
        </w:rPr>
        <w:t xml:space="preserve"> </w:t>
      </w:r>
      <w:r w:rsidRPr="5A4A324C" w:rsidR="4BC212B3">
        <w:rPr>
          <w:b w:val="1"/>
          <w:bCs w:val="1"/>
          <w:sz w:val="28"/>
          <w:szCs w:val="28"/>
        </w:rPr>
        <w:t xml:space="preserve">   </w:t>
      </w:r>
    </w:p>
    <w:p w:rsidRPr="00312880" w:rsidR="00312880" w:rsidP="005C255F" w:rsidRDefault="00312880" w14:paraId="4C6ABD56" w14:textId="0336301E">
      <w:pPr>
        <w:spacing w:line="240" w:lineRule="auto"/>
        <w:jc w:val="center"/>
        <w:rPr>
          <w:b/>
          <w:bCs/>
          <w:sz w:val="28"/>
          <w:szCs w:val="28"/>
        </w:rPr>
      </w:pPr>
      <w:r>
        <w:rPr>
          <w:b/>
          <w:sz w:val="28"/>
        </w:rPr>
        <w:t>Ligne d</w:t>
      </w:r>
      <w:r w:rsidR="00A35C4D">
        <w:rPr>
          <w:b/>
          <w:sz w:val="28"/>
        </w:rPr>
        <w:t>’</w:t>
      </w:r>
      <w:r>
        <w:rPr>
          <w:b/>
          <w:sz w:val="28"/>
        </w:rPr>
        <w:t>objet</w:t>
      </w:r>
      <w:r w:rsidR="00A35C4D">
        <w:rPr>
          <w:b/>
          <w:sz w:val="28"/>
        </w:rPr>
        <w:t> </w:t>
      </w:r>
      <w:r>
        <w:rPr>
          <w:b/>
          <w:sz w:val="28"/>
        </w:rPr>
        <w:t>: Déclaration de qualification du MER</w:t>
      </w:r>
      <w:r w:rsidR="00A35C4D">
        <w:rPr>
          <w:b/>
          <w:sz w:val="28"/>
        </w:rPr>
        <w:t> </w:t>
      </w:r>
      <w:r>
        <w:rPr>
          <w:b/>
          <w:sz w:val="28"/>
        </w:rPr>
        <w:t xml:space="preserve">PQ002 </w:t>
      </w:r>
      <w:r w:rsidR="00A35C4D">
        <w:rPr>
          <w:b/>
          <w:sz w:val="28"/>
        </w:rPr>
        <w:t>—</w:t>
      </w:r>
      <w:r>
        <w:rPr>
          <w:b/>
          <w:sz w:val="28"/>
        </w:rPr>
        <w:t xml:space="preserve"> [NOM DE L</w:t>
      </w:r>
      <w:r w:rsidR="00A35C4D">
        <w:rPr>
          <w:b/>
          <w:sz w:val="28"/>
        </w:rPr>
        <w:t>’</w:t>
      </w:r>
      <w:r>
        <w:rPr>
          <w:b/>
          <w:sz w:val="28"/>
        </w:rPr>
        <w:t>ENTREPRISE].</w:t>
      </w:r>
    </w:p>
    <w:p w:rsidRPr="00464E54" w:rsidR="00766748" w:rsidP="005C255F" w:rsidRDefault="004C5E14" w14:paraId="03F32C3A" w14:textId="7F72E448">
      <w:pPr>
        <w:spacing w:before="240" w:line="240" w:lineRule="auto"/>
      </w:pPr>
      <w:r>
        <w:t>La déclaration de qualification doit respecter les exigences et le format décrits dans le présent appel de qualification. Toutes les copies électroniques doivent être soumises au format Adobe Acrobat (.pdf). Tous les textes doivent être rédigés en anglais. Toute autre information doit être présentée dans un format lisible. Toutes les signatures doivent être accompagnées d</w:t>
      </w:r>
      <w:r w:rsidR="00A35C4D">
        <w:t>’</w:t>
      </w:r>
      <w:r>
        <w:t>un nom, d</w:t>
      </w:r>
      <w:r w:rsidR="00A35C4D">
        <w:t>’</w:t>
      </w:r>
      <w:r>
        <w:t>un titre et d</w:t>
      </w:r>
      <w:r w:rsidR="00A35C4D">
        <w:t>’</w:t>
      </w:r>
      <w:r>
        <w:t>une date en caractères d</w:t>
      </w:r>
      <w:r w:rsidR="00A35C4D">
        <w:t>’</w:t>
      </w:r>
      <w:r>
        <w:t>imprimerie.</w:t>
      </w:r>
    </w:p>
    <w:p w:rsidR="00134387" w:rsidP="005C255F" w:rsidRDefault="004C5E14" w14:paraId="036D6D59" w14:textId="6A2D9B79">
      <w:pPr>
        <w:spacing w:line="240" w:lineRule="auto"/>
      </w:pPr>
      <w:r>
        <w:t>Toute déclaration de qualification qui ne respecte pas la date limite peut être rejetée.</w:t>
      </w:r>
    </w:p>
    <w:p w:rsidRPr="00271EC3" w:rsidR="00A2742B" w:rsidP="005C255F" w:rsidRDefault="2306F3D9" w14:paraId="4283C561" w14:textId="791BEE69">
      <w:pPr>
        <w:spacing w:line="240" w:lineRule="auto"/>
        <w:rPr>
          <w:b/>
          <w:bCs/>
        </w:rPr>
      </w:pPr>
      <w:r>
        <w:rPr>
          <w:b/>
        </w:rPr>
        <w:t>Format de soumission</w:t>
      </w:r>
      <w:r w:rsidR="00A35C4D">
        <w:rPr>
          <w:b/>
        </w:rPr>
        <w:t> </w:t>
      </w:r>
      <w:r>
        <w:rPr>
          <w:b/>
        </w:rPr>
        <w:t>: Les entreprises doivent soumettre chaque dossier de proposition fictive sous la forme d</w:t>
      </w:r>
      <w:r w:rsidR="00A35C4D">
        <w:rPr>
          <w:b/>
        </w:rPr>
        <w:t>’</w:t>
      </w:r>
      <w:r>
        <w:rPr>
          <w:b/>
        </w:rPr>
        <w:t>un fichier PDF combiné (un fichier PDF combiné par catégorie de services, y compris les échantillons de travail). Tous les formulaires peuvent être soumis sous forme de pièces jointes séparées.</w:t>
      </w:r>
    </w:p>
    <w:p w:rsidRPr="00464E54" w:rsidR="00766748" w:rsidP="005C255F" w:rsidRDefault="00134387" w14:paraId="15D21965" w14:textId="18EEE2D1">
      <w:pPr>
        <w:pStyle w:val="Heading2"/>
        <w:spacing w:line="240" w:lineRule="auto"/>
      </w:pPr>
      <w:bookmarkStart w:name="_i7n1s8jgoho1" w:id="14"/>
      <w:bookmarkStart w:name="_Toc148097435" w:id="15"/>
      <w:bookmarkEnd w:id="14"/>
      <w:r>
        <w:t>2.3 Précisions</w:t>
      </w:r>
      <w:bookmarkEnd w:id="15"/>
      <w:r>
        <w:t xml:space="preserve">  </w:t>
      </w:r>
    </w:p>
    <w:p w:rsidRPr="00464E54" w:rsidR="00766748" w:rsidP="005C255F" w:rsidRDefault="005B213F" w14:paraId="3824EE9D" w14:textId="1C05E80D">
      <w:pPr>
        <w:spacing w:line="240" w:lineRule="auto"/>
        <w:rPr>
          <w:sz w:val="24"/>
          <w:szCs w:val="24"/>
        </w:rPr>
      </w:pPr>
      <w:r w:rsidR="005B213F">
        <w:rPr/>
        <w:t>Les demandes d</w:t>
      </w:r>
      <w:r w:rsidR="00A35C4D">
        <w:rPr/>
        <w:t>’</w:t>
      </w:r>
      <w:r w:rsidR="005B213F">
        <w:rPr/>
        <w:t xml:space="preserve">éclaircissements concernant cette procédure de préqualification doivent être envoyées à </w:t>
      </w:r>
      <w:r w:rsidRPr="01568136" w:rsidR="005B213F">
        <w:rPr>
          <w:b w:val="1"/>
          <w:bCs w:val="1"/>
          <w:color w:val="0070C0"/>
        </w:rPr>
        <w:t>gsuarez@mercycorps.org</w:t>
      </w:r>
      <w:r w:rsidRPr="01568136" w:rsidR="005B213F">
        <w:rPr>
          <w:color w:val="0070C0"/>
        </w:rPr>
        <w:t xml:space="preserve"> </w:t>
      </w:r>
      <w:r w:rsidR="005B213F">
        <w:rPr/>
        <w:t xml:space="preserve">avant </w:t>
      </w:r>
      <w:r w:rsidRPr="01568136" w:rsidR="005B213F">
        <w:rPr>
          <w:b w:val="1"/>
          <w:bCs w:val="1"/>
        </w:rPr>
        <w:t xml:space="preserve">le </w:t>
      </w:r>
      <w:r w:rsidRPr="01568136" w:rsidR="4425F2AD">
        <w:rPr>
          <w:b w:val="1"/>
          <w:bCs w:val="1"/>
          <w:color w:val="0F243E" w:themeColor="text2" w:themeTint="FF" w:themeShade="80"/>
        </w:rPr>
        <w:t>1 novembre</w:t>
      </w:r>
      <w:r w:rsidRPr="01568136" w:rsidR="005B213F">
        <w:rPr>
          <w:b w:val="1"/>
          <w:bCs w:val="1"/>
          <w:color w:val="0F243E" w:themeColor="text2" w:themeTint="FF" w:themeShade="80"/>
        </w:rPr>
        <w:t xml:space="preserve"> 2023</w:t>
      </w:r>
      <w:r w:rsidRPr="01568136" w:rsidR="005B213F">
        <w:rPr>
          <w:b w:val="1"/>
          <w:bCs w:val="1"/>
        </w:rPr>
        <w:t xml:space="preserve"> à 17</w:t>
      </w:r>
      <w:r w:rsidRPr="01568136" w:rsidR="00A35C4D">
        <w:rPr>
          <w:b w:val="1"/>
          <w:bCs w:val="1"/>
        </w:rPr>
        <w:t> </w:t>
      </w:r>
      <w:r w:rsidRPr="01568136" w:rsidR="005B213F">
        <w:rPr>
          <w:b w:val="1"/>
          <w:bCs w:val="1"/>
        </w:rPr>
        <w:t>heures HNP.</w:t>
      </w:r>
      <w:r w:rsidR="005B213F">
        <w:rPr/>
        <w:t xml:space="preserve"> Toutes les réponses aux questions reçues seront consolidées et téléchargées sur le site web de Mercy Corps d</w:t>
      </w:r>
      <w:r w:rsidR="00A35C4D">
        <w:rPr/>
        <w:t>’</w:t>
      </w:r>
      <w:r w:rsidR="005B213F">
        <w:rPr/>
        <w:t xml:space="preserve">ici le </w:t>
      </w:r>
      <w:r w:rsidR="75D0D717">
        <w:rPr/>
        <w:t>3</w:t>
      </w:r>
      <w:r w:rsidR="00A35C4D">
        <w:rPr/>
        <w:t> </w:t>
      </w:r>
      <w:r w:rsidR="005B213F">
        <w:rPr/>
        <w:t>novembre 2023 à 17</w:t>
      </w:r>
      <w:r w:rsidR="00A35C4D">
        <w:rPr/>
        <w:t> </w:t>
      </w:r>
      <w:r w:rsidR="005B213F">
        <w:rPr/>
        <w:t>heures HNP.</w:t>
      </w:r>
    </w:p>
    <w:p w:rsidRPr="00464E54" w:rsidR="00766748" w:rsidP="005C255F" w:rsidRDefault="00134387" w14:paraId="492BF79B" w14:textId="1531F543">
      <w:pPr>
        <w:pStyle w:val="Heading2"/>
        <w:spacing w:line="240" w:lineRule="auto"/>
        <w:rPr>
          <w:i/>
        </w:rPr>
      </w:pPr>
      <w:bookmarkStart w:name="_1as5y6ui88zg" w:id="16"/>
      <w:bookmarkStart w:name="_Toc148097436" w:id="17"/>
      <w:bookmarkEnd w:id="16"/>
      <w:r>
        <w:t>2.4 Acceptation d</w:t>
      </w:r>
      <w:r w:rsidR="00A35C4D">
        <w:t>’</w:t>
      </w:r>
      <w:r>
        <w:t>une réponse positive</w:t>
      </w:r>
      <w:bookmarkEnd w:id="17"/>
    </w:p>
    <w:p w:rsidR="00134387" w:rsidP="005C255F" w:rsidRDefault="588CC8ED" w14:paraId="405E52C1" w14:textId="074D46AA">
      <w:pPr>
        <w:spacing w:line="240" w:lineRule="auto"/>
        <w:rPr>
          <w:i/>
          <w:iCs/>
        </w:rPr>
      </w:pPr>
      <w:bookmarkStart w:name="_2yckbwjih1jk" w:id="18"/>
      <w:bookmarkStart w:name="_Toc140763982" w:id="19"/>
      <w:bookmarkEnd w:id="18"/>
      <w:r>
        <w:t>Les documents soumis par les fournisseurs seront vérifiés par Mercy Corps et évalués selon les critères établis. Les fournisseurs retenus seront ajoutés au statut «</w:t>
      </w:r>
      <w:r w:rsidR="00A35C4D">
        <w:t> </w:t>
      </w:r>
      <w:r>
        <w:t>préqualifié</w:t>
      </w:r>
      <w:r w:rsidR="00A35C4D">
        <w:t> </w:t>
      </w:r>
      <w:r>
        <w:t>» pour une période de deux ans.</w:t>
      </w:r>
      <w:bookmarkEnd w:id="19"/>
    </w:p>
    <w:p w:rsidR="00AA4FDB" w:rsidP="005C255F" w:rsidRDefault="004C5E14" w14:paraId="79C94F2B" w14:textId="3655660F">
      <w:pPr>
        <w:spacing w:line="240" w:lineRule="auto"/>
        <w:rPr>
          <w:i/>
        </w:rPr>
      </w:pPr>
      <w:bookmarkStart w:name="_Toc140763983" w:id="20"/>
      <w:r>
        <w:t>Mercy Corps invitera les fournisseurs présélectionnés à soumettre des offres en réponse à un futur cahier des charges donné. Les fournisseurs présélectionnés seront informés de leur statut par courrier électronique, à l</w:t>
      </w:r>
      <w:r w:rsidR="00A35C4D">
        <w:t>’</w:t>
      </w:r>
      <w:r>
        <w:t>adresse de contact indiquée dans la déclaration de qualification.</w:t>
      </w:r>
      <w:bookmarkEnd w:id="20"/>
    </w:p>
    <w:p w:rsidRPr="00AA4FDB" w:rsidR="00766748" w:rsidP="005C255F" w:rsidRDefault="00AA4FDB" w14:paraId="271DAF67" w14:textId="284950BE">
      <w:pPr>
        <w:pStyle w:val="Heading2"/>
        <w:spacing w:line="240" w:lineRule="auto"/>
        <w:rPr>
          <w:i/>
        </w:rPr>
      </w:pPr>
      <w:bookmarkStart w:name="_3gb6jlpyk0cs" w:id="21"/>
      <w:bookmarkStart w:name="_Toc148097437" w:id="22"/>
      <w:bookmarkEnd w:id="21"/>
      <w:r>
        <w:t>2.5 Performances passées</w:t>
      </w:r>
      <w:bookmarkEnd w:id="22"/>
    </w:p>
    <w:p w:rsidRPr="00464E54" w:rsidR="00766748" w:rsidP="005C255F" w:rsidRDefault="004C5E14" w14:paraId="4BDEB97B" w14:textId="25F9C7FE">
      <w:pPr>
        <w:spacing w:line="240" w:lineRule="auto"/>
      </w:pPr>
      <w:r>
        <w:t>Les performances passées seront dûment prises en compte dans le cadre de la procédure de présélection. Les contrats antérieurs répondant à cette exigence de présélection seront pris en considération.</w:t>
      </w:r>
    </w:p>
    <w:p w:rsidRPr="00AA4FDB" w:rsidR="00766748" w:rsidP="005C255F" w:rsidRDefault="00AA4FDB" w14:paraId="3A7E7EF2" w14:textId="67F80A51">
      <w:pPr>
        <w:pStyle w:val="Heading1"/>
      </w:pPr>
      <w:bookmarkStart w:name="_uhq5zjbndh85" w:id="23"/>
      <w:bookmarkStart w:name="_Toc148097438" w:id="24"/>
      <w:bookmarkEnd w:id="23"/>
      <w:r>
        <w:t>3. Critères d</w:t>
      </w:r>
      <w:r w:rsidR="00A35C4D">
        <w:t>’</w:t>
      </w:r>
      <w:r>
        <w:t>éligibilité et exigences en matière de soumission</w:t>
      </w:r>
      <w:bookmarkEnd w:id="24"/>
      <w:r>
        <w:t xml:space="preserve"> </w:t>
      </w:r>
    </w:p>
    <w:p w:rsidRPr="00AA4FDB" w:rsidR="00766748" w:rsidP="005C255F" w:rsidRDefault="00AA4FDB" w14:paraId="21D8ECE6" w14:textId="21ED411F">
      <w:pPr>
        <w:pStyle w:val="Heading2"/>
        <w:spacing w:before="240" w:line="240" w:lineRule="auto"/>
      </w:pPr>
      <w:bookmarkStart w:name="_jeni5je5gvq8" w:id="25"/>
      <w:bookmarkStart w:name="_3.1_Supplier_Eligibility" w:id="26"/>
      <w:bookmarkStart w:name="_Toc148097439" w:id="27"/>
      <w:bookmarkEnd w:id="25"/>
      <w:bookmarkEnd w:id="26"/>
      <w:r>
        <w:t xml:space="preserve">3.1 Éligibilité des fournisseurs </w:t>
      </w:r>
      <w:bookmarkEnd w:id="27"/>
    </w:p>
    <w:p w:rsidRPr="00AA4FDB" w:rsidR="00AA4FDB" w:rsidP="005C255F" w:rsidRDefault="0007319E" w14:paraId="1206453D" w14:textId="205EC5B8">
      <w:pPr>
        <w:spacing w:line="240" w:lineRule="auto"/>
      </w:pPr>
      <w:r>
        <w:t>Les fournisseurs ne peuvent pas poser leur candidature et seront rejetés comme inéligibles s</w:t>
      </w:r>
      <w:r w:rsidR="00A35C4D">
        <w:t>’</w:t>
      </w:r>
      <w:r>
        <w:t>ils</w:t>
      </w:r>
      <w:r w:rsidR="00A35C4D">
        <w:t> </w:t>
      </w:r>
      <w:r>
        <w:t>:</w:t>
      </w:r>
    </w:p>
    <w:p w:rsidRPr="00AA4FDB" w:rsidR="00766748" w:rsidP="005C255F" w:rsidRDefault="004C5E14" w14:paraId="48D25312" w14:textId="77777777">
      <w:pPr>
        <w:pStyle w:val="ListParagraph"/>
        <w:numPr>
          <w:ilvl w:val="0"/>
          <w:numId w:val="2"/>
        </w:numPr>
        <w:spacing w:line="240" w:lineRule="auto"/>
      </w:pPr>
      <w:r>
        <w:t>Ne sont pas des entreprises enregistrées</w:t>
      </w:r>
    </w:p>
    <w:p w:rsidRPr="00AA4FDB" w:rsidR="00766748" w:rsidP="005C255F" w:rsidRDefault="004C5E14" w14:paraId="47C9AF1B" w14:textId="6ED3E64D">
      <w:pPr>
        <w:pStyle w:val="ListParagraph"/>
        <w:numPr>
          <w:ilvl w:val="0"/>
          <w:numId w:val="2"/>
        </w:numPr>
        <w:spacing w:line="240" w:lineRule="auto"/>
      </w:pPr>
      <w:r>
        <w:t>Sont en faillite ou en voie de l</w:t>
      </w:r>
      <w:r w:rsidR="00A35C4D">
        <w:t>’</w:t>
      </w:r>
      <w:r>
        <w:t>être</w:t>
      </w:r>
    </w:p>
    <w:p w:rsidRPr="00AA4FDB" w:rsidR="00766748" w:rsidP="005C255F" w:rsidRDefault="004C5E14" w14:paraId="1F4F8949" w14:textId="77777777">
      <w:pPr>
        <w:pStyle w:val="ListParagraph"/>
        <w:numPr>
          <w:ilvl w:val="0"/>
          <w:numId w:val="2"/>
        </w:numPr>
        <w:spacing w:line="240" w:lineRule="auto"/>
      </w:pPr>
      <w:r>
        <w:t>ont été condamnés pour des activités illégales/corrompues et/ou un comportement non professionnel</w:t>
      </w:r>
    </w:p>
    <w:p w:rsidRPr="00AA4FDB" w:rsidR="00766748" w:rsidP="005C255F" w:rsidRDefault="004C5E14" w14:paraId="49526D44" w14:textId="77777777">
      <w:pPr>
        <w:pStyle w:val="ListParagraph"/>
        <w:numPr>
          <w:ilvl w:val="0"/>
          <w:numId w:val="2"/>
        </w:numPr>
        <w:spacing w:line="240" w:lineRule="auto"/>
      </w:pPr>
      <w:r>
        <w:t>ont commis une faute professionnelle grave</w:t>
      </w:r>
    </w:p>
    <w:p w:rsidRPr="00AA4FDB" w:rsidR="00766748" w:rsidP="005C255F" w:rsidRDefault="004C5E14" w14:paraId="7A36A8EF" w14:textId="52371C98">
      <w:pPr>
        <w:pStyle w:val="ListParagraph"/>
        <w:numPr>
          <w:ilvl w:val="0"/>
          <w:numId w:val="2"/>
        </w:numPr>
        <w:spacing w:line="240" w:lineRule="auto"/>
      </w:pPr>
      <w:r>
        <w:t>n</w:t>
      </w:r>
      <w:r w:rsidR="00A35C4D">
        <w:t>’</w:t>
      </w:r>
      <w:r>
        <w:t>ont pas rempli leurs obligations relatives au paiement de la sécurité sociale et des impôts</w:t>
      </w:r>
    </w:p>
    <w:p w:rsidRPr="00AA4FDB" w:rsidR="00766748" w:rsidP="005C255F" w:rsidRDefault="004C5E14" w14:paraId="1DFBD3DC" w14:textId="3251C3CC">
      <w:pPr>
        <w:pStyle w:val="ListParagraph"/>
        <w:numPr>
          <w:ilvl w:val="0"/>
          <w:numId w:val="2"/>
        </w:numPr>
        <w:spacing w:line="240" w:lineRule="auto"/>
      </w:pPr>
      <w:r>
        <w:t>se sont rendus coupables de fausses déclarations graves en fournissant des informations</w:t>
      </w:r>
    </w:p>
    <w:p w:rsidRPr="00AA4FDB" w:rsidR="00766748" w:rsidP="005C255F" w:rsidRDefault="004C5E14" w14:paraId="60FB5C49" w14:textId="2750E08A">
      <w:pPr>
        <w:pStyle w:val="ListParagraph"/>
        <w:numPr>
          <w:ilvl w:val="0"/>
          <w:numId w:val="2"/>
        </w:numPr>
        <w:spacing w:line="240" w:lineRule="auto"/>
      </w:pPr>
      <w:r>
        <w:t>ont enfreint les politiques énoncées dans la déclaration anticorruption de Mercy Corps.</w:t>
      </w:r>
    </w:p>
    <w:p w:rsidR="00766748" w:rsidP="005C255F" w:rsidRDefault="00233330" w14:paraId="33FFAF4B" w14:textId="273166DF">
      <w:pPr>
        <w:pStyle w:val="ListParagraph"/>
        <w:numPr>
          <w:ilvl w:val="0"/>
          <w:numId w:val="2"/>
        </w:numPr>
        <w:spacing w:line="240" w:lineRule="auto"/>
        <w:rPr>
          <w:rFonts w:eastAsia="MS Mincho"/>
          <w:b/>
          <w:color w:val="4F80BD"/>
        </w:rPr>
      </w:pPr>
      <w:r>
        <w:t>Le fournisseur (ou les dirigeants du fournisseur) figure sur une liste de parties sanctionnées émise par</w:t>
      </w:r>
      <w:r w:rsidR="00A35C4D">
        <w:t> </w:t>
      </w:r>
      <w:r>
        <w:t>: le gouvernement des États-Unis ou les Nations unies, le Royaume-Uni, l</w:t>
      </w:r>
      <w:r w:rsidR="00A35C4D">
        <w:t>’</w:t>
      </w:r>
      <w:r>
        <w:t>Union européenne, les Nations unies, d</w:t>
      </w:r>
      <w:r w:rsidR="00A35C4D">
        <w:t>’</w:t>
      </w:r>
      <w:r>
        <w:t>autres gouvernements nationaux ou des organisations publiques internationales, ou est actuellement exclu ou disqualifié de la participation à cette transaction par</w:t>
      </w:r>
      <w:r w:rsidR="00A35C4D">
        <w:t> </w:t>
      </w:r>
      <w:r>
        <w:t>: le gouvernement des États-Unis ou les Nations unies, le Royaume-Uni, l</w:t>
      </w:r>
      <w:r w:rsidR="00A35C4D">
        <w:t>’</w:t>
      </w:r>
      <w:r>
        <w:t>Union européenne, les Nations unies, d</w:t>
      </w:r>
      <w:r w:rsidR="00A35C4D">
        <w:t>’</w:t>
      </w:r>
      <w:r>
        <w:t>autres gouvernements nationaux ou des organisations publiques internationales.</w:t>
      </w:r>
    </w:p>
    <w:p w:rsidRPr="00D86273" w:rsidR="1C990EF6" w:rsidP="005C255F" w:rsidRDefault="1C990EF6" w14:paraId="5167063F" w14:textId="2E70C64B">
      <w:pPr>
        <w:spacing w:line="240" w:lineRule="auto"/>
        <w:rPr>
          <w:b/>
          <w:bCs/>
        </w:rPr>
      </w:pPr>
      <w:r>
        <w:t>En outre, toutes les entreprises présélectionnées devront être enregistrées dans Ariba (système de passation de marchés en ligne) afin de recevoir des appels d</w:t>
      </w:r>
      <w:r w:rsidR="00A35C4D">
        <w:t>’</w:t>
      </w:r>
      <w:r>
        <w:t xml:space="preserve">offres pour les futurs cahiers des charges. </w:t>
      </w:r>
      <w:r>
        <w:rPr>
          <w:b/>
        </w:rPr>
        <w:t>Toute entreprise refusant de s</w:t>
      </w:r>
      <w:r w:rsidR="00A35C4D">
        <w:rPr>
          <w:b/>
        </w:rPr>
        <w:t>’</w:t>
      </w:r>
      <w:r>
        <w:rPr>
          <w:b/>
        </w:rPr>
        <w:t>enregistrer sur Ariba après avoir été présélectionnée sera considérée comme inéligible.</w:t>
      </w:r>
    </w:p>
    <w:p w:rsidRPr="00AA4FDB" w:rsidR="00766748" w:rsidP="005C255F" w:rsidRDefault="004C5E14" w14:paraId="78E0E25B" w14:textId="00053A03">
      <w:pPr>
        <w:spacing w:line="240" w:lineRule="auto"/>
        <w:rPr>
          <w:b/>
        </w:rPr>
      </w:pPr>
      <w:r>
        <w:t>D</w:t>
      </w:r>
      <w:r w:rsidR="00A35C4D">
        <w:t>’</w:t>
      </w:r>
      <w:r>
        <w:t>autres critères d</w:t>
      </w:r>
      <w:r w:rsidR="00A35C4D">
        <w:t>’</w:t>
      </w:r>
      <w:r>
        <w:t>éligibilité, le cas échéant, sont énoncés à la section</w:t>
      </w:r>
      <w:r w:rsidR="00A35C4D">
        <w:t> </w:t>
      </w:r>
      <w:r>
        <w:t>3.2 du présent dossier de préqualification.</w:t>
      </w:r>
    </w:p>
    <w:p w:rsidRPr="00AA4FDB" w:rsidR="009F34A2" w:rsidP="005C255F" w:rsidRDefault="00AA4FDB" w14:paraId="03255187" w14:textId="5964A31B">
      <w:pPr>
        <w:pStyle w:val="Heading2"/>
        <w:spacing w:line="240" w:lineRule="auto"/>
        <w:rPr>
          <w:i/>
        </w:rPr>
      </w:pPr>
      <w:bookmarkStart w:name="_czktirowj61i" w:id="28"/>
      <w:bookmarkStart w:name="_Toc148097440" w:id="29"/>
      <w:bookmarkEnd w:id="28"/>
      <w:r>
        <w:t>3.2 Déclaration de Mercy Corps sur la lutte contre les pots-de-vin et la corruption</w:t>
      </w:r>
      <w:bookmarkEnd w:id="29"/>
    </w:p>
    <w:p w:rsidRPr="00AA4FDB" w:rsidR="00766748" w:rsidP="005C255F" w:rsidRDefault="004C5E14" w14:paraId="6504E877" w14:textId="638F3E8F">
      <w:pPr>
        <w:spacing w:line="240" w:lineRule="auto"/>
      </w:pPr>
      <w:r>
        <w:t>Mercy Corps interdit strictement</w:t>
      </w:r>
      <w:r w:rsidR="00A35C4D">
        <w:t> </w:t>
      </w:r>
      <w:r>
        <w:t>:</w:t>
      </w:r>
    </w:p>
    <w:p w:rsidRPr="00AA4FDB" w:rsidR="00766748" w:rsidP="005C255F" w:rsidRDefault="004C5E14" w14:paraId="0856FDAB" w14:textId="77777777">
      <w:pPr>
        <w:spacing w:line="240" w:lineRule="auto"/>
      </w:pPr>
      <w:r>
        <w:t xml:space="preserve">●     </w:t>
      </w:r>
      <w:r>
        <w:rPr>
          <w:u w:val="single"/>
        </w:rPr>
        <w:t>Toute forme de pot-de-vin ou de dessous-de-table en rapport avec ses activités</w:t>
      </w:r>
    </w:p>
    <w:p w:rsidRPr="00AA4FDB" w:rsidR="00766748" w:rsidP="005C255F" w:rsidRDefault="004C5E14" w14:paraId="0C4E33D5" w14:textId="0212B6A7">
      <w:pPr>
        <w:spacing w:line="240" w:lineRule="auto"/>
      </w:pPr>
      <w:r>
        <w:t>Cette interdiction inclut toute demande d</w:t>
      </w:r>
      <w:r w:rsidR="00A35C4D">
        <w:t>’</w:t>
      </w:r>
      <w:r>
        <w:t>un employé, d</w:t>
      </w:r>
      <w:r w:rsidR="00A35C4D">
        <w:t>’</w:t>
      </w:r>
      <w:r>
        <w:t>un consultant ou d</w:t>
      </w:r>
      <w:r w:rsidR="00A35C4D">
        <w:t>’</w:t>
      </w:r>
      <w:r>
        <w:t>un agent de Mercy Corps pour obtenir quelque chose de valeur de la part d</w:t>
      </w:r>
      <w:r w:rsidR="00A35C4D">
        <w:t>’</w:t>
      </w:r>
      <w:r>
        <w:t>une entreprise ou d</w:t>
      </w:r>
      <w:r w:rsidR="00A35C4D">
        <w:t>’</w:t>
      </w:r>
      <w:r>
        <w:t>un individu en échange de l</w:t>
      </w:r>
      <w:r w:rsidR="00A35C4D">
        <w:t>’</w:t>
      </w:r>
      <w:r>
        <w:t>action ou de l</w:t>
      </w:r>
      <w:r w:rsidR="00A35C4D">
        <w:t>’</w:t>
      </w:r>
      <w:r>
        <w:t>absence d</w:t>
      </w:r>
      <w:r w:rsidR="00A35C4D">
        <w:t>’</w:t>
      </w:r>
      <w:r>
        <w:t>action de l</w:t>
      </w:r>
      <w:r w:rsidR="00A35C4D">
        <w:t>’</w:t>
      </w:r>
      <w:r>
        <w:t>employé, du consultant ou de l</w:t>
      </w:r>
      <w:r w:rsidR="00A35C4D">
        <w:t>’</w:t>
      </w:r>
      <w:r>
        <w:t>agent en rapport avec l</w:t>
      </w:r>
      <w:r w:rsidR="00A35C4D">
        <w:t>’</w:t>
      </w:r>
      <w:r>
        <w:t>attribution d</w:t>
      </w:r>
      <w:r w:rsidR="00A35C4D">
        <w:t>’</w:t>
      </w:r>
      <w:r>
        <w:t>un contrat ou avec le contrat une fois attribué. Elle s</w:t>
      </w:r>
      <w:r w:rsidR="00A35C4D">
        <w:t>’</w:t>
      </w:r>
      <w:r>
        <w:t>applique également à toute offre émanant d</w:t>
      </w:r>
      <w:r w:rsidR="00A35C4D">
        <w:t>’</w:t>
      </w:r>
      <w:r>
        <w:t>une entreprise ou d</w:t>
      </w:r>
      <w:r w:rsidR="00A35C4D">
        <w:t>’</w:t>
      </w:r>
      <w:r>
        <w:t>un particulier et visant à fournir quelque chose de valeur à un employé, un consultant ou un agent de Mercy Corps en échange de l</w:t>
      </w:r>
      <w:r w:rsidR="00A35C4D">
        <w:t>’</w:t>
      </w:r>
      <w:r>
        <w:t>accomplissement ou du non-accomplissement par cette personne d</w:t>
      </w:r>
      <w:r w:rsidR="00A35C4D">
        <w:t>’</w:t>
      </w:r>
      <w:r>
        <w:t>une action liée à l</w:t>
      </w:r>
      <w:r w:rsidR="00A35C4D">
        <w:t>’</w:t>
      </w:r>
      <w:r>
        <w:t>attribution du contrat ou au contrat.</w:t>
      </w:r>
    </w:p>
    <w:p w:rsidRPr="00AA4FDB" w:rsidR="00766748" w:rsidP="005C255F" w:rsidRDefault="004C5E14" w14:paraId="0EF7B0CC" w14:textId="49FF314F">
      <w:pPr>
        <w:spacing w:line="240" w:lineRule="auto"/>
      </w:pPr>
      <w:r>
        <w:t xml:space="preserve">●     </w:t>
      </w:r>
      <w:r>
        <w:rPr>
          <w:u w:val="single"/>
        </w:rPr>
        <w:t>Conflits d</w:t>
      </w:r>
      <w:r w:rsidR="00A35C4D">
        <w:rPr>
          <w:u w:val="single"/>
        </w:rPr>
        <w:t>’</w:t>
      </w:r>
      <w:r>
        <w:rPr>
          <w:u w:val="single"/>
        </w:rPr>
        <w:t>intérêts dans l</w:t>
      </w:r>
      <w:r w:rsidR="00A35C4D">
        <w:rPr>
          <w:u w:val="single"/>
        </w:rPr>
        <w:t>’</w:t>
      </w:r>
      <w:r>
        <w:rPr>
          <w:u w:val="single"/>
        </w:rPr>
        <w:t>attribution ou la gestion des marchés</w:t>
      </w:r>
      <w:r>
        <w:t xml:space="preserve"> </w:t>
      </w:r>
    </w:p>
    <w:p w:rsidRPr="00AA4FDB" w:rsidR="00766748" w:rsidP="005C255F" w:rsidRDefault="004C5E14" w14:paraId="4F464ADD" w14:textId="61456FE7">
      <w:pPr>
        <w:spacing w:line="240" w:lineRule="auto"/>
      </w:pPr>
      <w:r>
        <w:t>Si une entreprise appartient, directement ou indirectement, en totalité ou en partie, à un employé de Mercy Corps ou à une personne liée à un employé de Mercy Corps, l</w:t>
      </w:r>
      <w:r w:rsidR="00A35C4D">
        <w:t>’</w:t>
      </w:r>
      <w:r>
        <w:t>entreprise doit s</w:t>
      </w:r>
      <w:r w:rsidR="00A35C4D">
        <w:t>’</w:t>
      </w:r>
      <w:r>
        <w:t>assurer que l</w:t>
      </w:r>
      <w:r w:rsidR="00A35C4D">
        <w:t>’</w:t>
      </w:r>
      <w:r>
        <w:t>employé et elle-même divulguent cette relation dans le cadre de l</w:t>
      </w:r>
      <w:r w:rsidR="00A35C4D">
        <w:t>’</w:t>
      </w:r>
      <w:r>
        <w:t xml:space="preserve">offre ou avant de la soumettre.   </w:t>
      </w:r>
    </w:p>
    <w:p w:rsidRPr="00AA4FDB" w:rsidR="00766748" w:rsidP="005C255F" w:rsidRDefault="004C5E14" w14:paraId="288BD699" w14:textId="7C974E7A">
      <w:pPr>
        <w:spacing w:line="240" w:lineRule="auto"/>
      </w:pPr>
      <w:r>
        <w:t xml:space="preserve"> ●     </w:t>
      </w:r>
      <w:r>
        <w:rPr>
          <w:u w:val="single"/>
        </w:rPr>
        <w:t>Le partage ou l</w:t>
      </w:r>
      <w:r w:rsidR="00A35C4D">
        <w:rPr>
          <w:u w:val="single"/>
        </w:rPr>
        <w:t>’</w:t>
      </w:r>
      <w:r>
        <w:rPr>
          <w:u w:val="single"/>
        </w:rPr>
        <w:t>obtention d</w:t>
      </w:r>
      <w:r w:rsidR="00A35C4D">
        <w:rPr>
          <w:u w:val="single"/>
        </w:rPr>
        <w:t>’</w:t>
      </w:r>
      <w:r>
        <w:rPr>
          <w:u w:val="single"/>
        </w:rPr>
        <w:t>informations confidentielles</w:t>
      </w:r>
    </w:p>
    <w:p w:rsidRPr="00AA4FDB" w:rsidR="00766748" w:rsidP="005C255F" w:rsidRDefault="004C5E14" w14:paraId="17B4711E" w14:textId="5576167F">
      <w:pPr>
        <w:spacing w:line="240" w:lineRule="auto"/>
      </w:pPr>
      <w:r>
        <w:t>Mercy Corps interdit à ses employés de partager, et à tout fournisseur d</w:t>
      </w:r>
      <w:r w:rsidR="00A35C4D">
        <w:t>’</w:t>
      </w:r>
      <w:r>
        <w:t>obtenir, des informations confidentielles relatives à cet appel d</w:t>
      </w:r>
      <w:r w:rsidR="00A35C4D">
        <w:t>’</w:t>
      </w:r>
      <w:r>
        <w:t>offres, y compris des informations concernant les estimations de prix de Mercy Corps, les fournisseurs concurrents ou les offres concurrentes, etc.  Toute information fournie à un soumissionnaire doit être communiquée à tous les autres fournisseurs.</w:t>
      </w:r>
    </w:p>
    <w:p w:rsidRPr="00AA4FDB" w:rsidR="00766748" w:rsidP="005C255F" w:rsidRDefault="004C5E14" w14:paraId="241BF24E" w14:textId="489B1ED7">
      <w:pPr>
        <w:spacing w:line="240" w:lineRule="auto"/>
      </w:pPr>
      <w:r>
        <w:t xml:space="preserve"> ●     </w:t>
      </w:r>
      <w:r>
        <w:rPr>
          <w:u w:val="single"/>
        </w:rPr>
        <w:t>Collusion entre/parmi les fournisseurs</w:t>
      </w:r>
    </w:p>
    <w:p w:rsidRPr="00AA4FDB" w:rsidR="00766748" w:rsidP="005C255F" w:rsidRDefault="004C5E14" w14:paraId="5F2B4FC2" w14:textId="0CE94874">
      <w:pPr>
        <w:spacing w:line="240" w:lineRule="auto"/>
      </w:pPr>
      <w:r>
        <w:t>Mercy Corps exige une concurrence loyale et ouverte pour le présent appel d</w:t>
      </w:r>
      <w:r w:rsidR="00A35C4D">
        <w:t>’</w:t>
      </w:r>
      <w:r>
        <w:t xml:space="preserve">offres. Les deux (ou plus) entreprises qui soumettent des déclarations de qualification ne peuvent pas être détenues ou contrôlées par la même personne ou les mêmes individus. Les entreprises qui </w:t>
      </w:r>
      <w:r>
        <w:t>soumettent des offres ne peuvent pas partager des prix ou d</w:t>
      </w:r>
      <w:r w:rsidR="00A35C4D">
        <w:t>’</w:t>
      </w:r>
      <w:r>
        <w:t>autres informations sur les offres, ni prendre d</w:t>
      </w:r>
      <w:r w:rsidR="00A35C4D">
        <w:t>’</w:t>
      </w:r>
      <w:r>
        <w:t>autres mesures visant à déterminer à l</w:t>
      </w:r>
      <w:r w:rsidR="00A35C4D">
        <w:t>’</w:t>
      </w:r>
      <w:r>
        <w:t>avance l</w:t>
      </w:r>
      <w:r w:rsidR="00A35C4D">
        <w:t>’</w:t>
      </w:r>
      <w:r>
        <w:t>entreprise qui remportera l</w:t>
      </w:r>
      <w:r w:rsidR="00A35C4D">
        <w:t>’</w:t>
      </w:r>
      <w:r>
        <w:t>appel d</w:t>
      </w:r>
      <w:r w:rsidR="00A35C4D">
        <w:t>’</w:t>
      </w:r>
      <w:r>
        <w:t>offres et le prix qui sera payé.</w:t>
      </w:r>
    </w:p>
    <w:p w:rsidRPr="00AA4FDB" w:rsidR="00766748" w:rsidP="005C255F" w:rsidRDefault="004C5E14" w14:paraId="5AC5DD83" w14:textId="02731D36">
      <w:pPr>
        <w:spacing w:line="240" w:lineRule="auto"/>
      </w:pPr>
      <w:r>
        <w:t>Les violations de ces interdictions, ainsi que toutes les preuves de ces violations, doivent être signalées à l</w:t>
      </w:r>
      <w:r w:rsidR="00A35C4D">
        <w:t>’</w:t>
      </w:r>
      <w:r>
        <w:t>adresse suivante</w:t>
      </w:r>
      <w:r w:rsidR="00A35C4D">
        <w:t> </w:t>
      </w:r>
      <w:r>
        <w:t>:</w:t>
      </w:r>
    </w:p>
    <w:p w:rsidRPr="00AA4FDB" w:rsidR="00766748" w:rsidP="005C255F" w:rsidRDefault="008E3CB1" w14:paraId="068F8C0A" w14:textId="1220CD02">
      <w:pPr>
        <w:spacing w:line="240" w:lineRule="auto"/>
        <w:rPr>
          <w:bCs/>
          <w:color w:val="0563C1"/>
        </w:rPr>
      </w:pPr>
      <w:hyperlink w:history="1" r:id="rId12">
        <w:r>
          <w:rPr>
            <w:rStyle w:val="Hyperlink"/>
          </w:rPr>
          <w:t>integrityhotline@mercycorps.org</w:t>
        </w:r>
      </w:hyperlink>
      <w:r>
        <w:rPr>
          <w:color w:val="0563C1"/>
        </w:rPr>
        <w:t xml:space="preserve"> </w:t>
      </w:r>
    </w:p>
    <w:p w:rsidRPr="00AA4FDB" w:rsidR="00766748" w:rsidP="005C255F" w:rsidRDefault="004C5E14" w14:paraId="2027337C" w14:textId="214624E6">
      <w:pPr>
        <w:spacing w:line="240" w:lineRule="auto"/>
      </w:pPr>
      <w:r>
        <w:t>Mercy Corps mènera une enquête approfondie sur les allégations et prendra les mesures qui s</w:t>
      </w:r>
      <w:r w:rsidR="00A35C4D">
        <w:t>’</w:t>
      </w:r>
      <w:r>
        <w:t>imposent. Toute entreprise ou personne qui participe à l</w:t>
      </w:r>
      <w:r w:rsidR="00A35C4D">
        <w:t>’</w:t>
      </w:r>
      <w:r>
        <w:t>un des comportements interdits susmentionnés verra ses actes signalés aux autorités compétentes, fera l</w:t>
      </w:r>
      <w:r w:rsidR="00A35C4D">
        <w:t>’</w:t>
      </w:r>
      <w:r>
        <w:t>objet d</w:t>
      </w:r>
      <w:r w:rsidR="00A35C4D">
        <w:t>’</w:t>
      </w:r>
      <w:r>
        <w:t>une enquête approfondie, verra son offre rejetée et/ou son contrat résilié, et ne sera pas éligible pour de futurs contrats avec Mercy Corps. Les employés qui se livrent à de tels agissements seront licenciés.</w:t>
      </w:r>
    </w:p>
    <w:p w:rsidRPr="00AA4FDB" w:rsidR="00766748" w:rsidP="005C255F" w:rsidRDefault="004C5E14" w14:paraId="57BB8C6B" w14:textId="30177F17">
      <w:pPr>
        <w:spacing w:line="240" w:lineRule="auto"/>
      </w:pPr>
      <w:r>
        <w:t>Les violations seront également signalées aux donateurs de Mercy Corps, qui peuvent également décider d</w:t>
      </w:r>
      <w:r w:rsidR="00A35C4D">
        <w:t>’</w:t>
      </w:r>
      <w:r>
        <w:t>enquêter et d</w:t>
      </w:r>
      <w:r w:rsidR="00A35C4D">
        <w:t>’</w:t>
      </w:r>
      <w:r>
        <w:t>exclure ou de suspendre les entreprises et leurs propriétaires de tout contrat financé en partie par le donateur, qu</w:t>
      </w:r>
      <w:r w:rsidR="00A35C4D">
        <w:t>’</w:t>
      </w:r>
      <w:r>
        <w:t>il s</w:t>
      </w:r>
      <w:r w:rsidR="00A35C4D">
        <w:t>’</w:t>
      </w:r>
      <w:r>
        <w:t>agisse d</w:t>
      </w:r>
      <w:r w:rsidR="00A35C4D">
        <w:t>’</w:t>
      </w:r>
      <w:r>
        <w:t>un contrat avec Mercy Corps ou toute autre entité.</w:t>
      </w:r>
    </w:p>
    <w:p w:rsidRPr="00AA4FDB" w:rsidR="00766748" w:rsidP="005C255F" w:rsidRDefault="00AA4FDB" w14:paraId="5106C826" w14:textId="3A21CD19">
      <w:pPr>
        <w:pStyle w:val="Heading2"/>
        <w:spacing w:line="240" w:lineRule="auto"/>
        <w:rPr>
          <w:i/>
        </w:rPr>
      </w:pPr>
      <w:bookmarkStart w:name="_awi0rglhw0px" w:id="30"/>
      <w:bookmarkStart w:name="_Toc148097441" w:id="31"/>
      <w:bookmarkEnd w:id="30"/>
      <w:r>
        <w:t>3.3 Certification en matière de terrorisme</w:t>
      </w:r>
      <w:bookmarkEnd w:id="31"/>
    </w:p>
    <w:p w:rsidRPr="00AA4FDB" w:rsidR="00766748" w:rsidP="005C255F" w:rsidRDefault="004C5E14" w14:paraId="0D5EC600" w14:textId="0525640C">
      <w:pPr>
        <w:spacing w:line="240" w:lineRule="auto"/>
        <w:rPr>
          <w:b/>
        </w:rPr>
      </w:pPr>
      <w:r>
        <w:t>Mercy Corps a pour politique de se conformer aux principes humanitaires et aux lois et règlements des États-Unis, de l</w:t>
      </w:r>
      <w:r w:rsidR="00A35C4D">
        <w:t>’</w:t>
      </w:r>
      <w:r>
        <w:t>Union européenne, des Nations unies, du Royaume-Uni, des pays d</w:t>
      </w:r>
      <w:r w:rsidR="00A35C4D">
        <w:t>’</w:t>
      </w:r>
      <w:r>
        <w:t>accueil et des autres donateurs concernés en ce qui concerne les transactions avec des personnes ou des entités qui se sont rendues coupables de fraude, de gaspillage, d</w:t>
      </w:r>
      <w:r w:rsidR="00A35C4D">
        <w:t>’</w:t>
      </w:r>
      <w:r>
        <w:t>abus, d</w:t>
      </w:r>
      <w:r w:rsidR="00A35C4D">
        <w:t>’</w:t>
      </w:r>
      <w:r>
        <w:t>atteintes aux droits de l</w:t>
      </w:r>
      <w:r w:rsidR="00A35C4D">
        <w:t>’</w:t>
      </w:r>
      <w:r>
        <w:t>homme ou qui ont apporté leur soutien à de telles personnes ou entités.</w:t>
      </w:r>
    </w:p>
    <w:p w:rsidRPr="00AA4FDB" w:rsidR="00766748" w:rsidP="005C255F" w:rsidRDefault="00AA4FDB" w14:paraId="07DE9EB5" w14:textId="44280175">
      <w:pPr>
        <w:pStyle w:val="Heading2"/>
        <w:spacing w:line="240" w:lineRule="auto"/>
        <w:rPr>
          <w:i/>
        </w:rPr>
      </w:pPr>
      <w:bookmarkStart w:name="_nqex6fl8vibl" w:id="32"/>
      <w:bookmarkStart w:name="_Toc148097442" w:id="33"/>
      <w:bookmarkEnd w:id="32"/>
      <w:r>
        <w:t>3.4 Contenu</w:t>
      </w:r>
      <w:bookmarkEnd w:id="33"/>
    </w:p>
    <w:p w:rsidRPr="00AA4FDB" w:rsidR="00766748" w:rsidP="005C255F" w:rsidRDefault="004C5E14" w14:paraId="027B3BC8" w14:textId="28A43C23">
      <w:pPr>
        <w:spacing w:line="240" w:lineRule="auto"/>
      </w:pPr>
      <w:r>
        <w:t>La déclaration de qualification ne doit contenir que les sections énumérées ci-dessous, conformément aux modèles de soumission fournis, et doit répondre pleinement à toutes les exigences de l</w:t>
      </w:r>
      <w:r w:rsidR="00A35C4D">
        <w:t>’</w:t>
      </w:r>
      <w:r>
        <w:t>appel à la qualification. Voir ci-dessous les sections requises et le nombre de pages. Les formulaires de demande de présélection qui ne sont pas entièrement remplis et soumis de la manière prescrite ne seront pas pris en considération. Pour les soumissions qui dépassent le nombre de pages indiqué, les évaluateurs ne tiendront pas compte des pages dépassant la limite indiquée. Tous les documents faisant partie de la proposition doivent être rédigés en anglais et être indélébiles.</w:t>
      </w:r>
    </w:p>
    <w:p w:rsidR="00766748" w:rsidP="005C255F" w:rsidRDefault="00AA4FDB" w14:paraId="4CB119B5" w14:textId="78D2A188">
      <w:pPr>
        <w:pStyle w:val="Heading2"/>
        <w:spacing w:line="240" w:lineRule="auto"/>
      </w:pPr>
      <w:bookmarkStart w:name="_g92kgqdp1ya7" w:id="34"/>
      <w:bookmarkStart w:name="_Toc148097443" w:id="35"/>
      <w:bookmarkEnd w:id="34"/>
      <w:r>
        <w:t>3.5 Exigences en matière de soumission</w:t>
      </w:r>
      <w:bookmarkEnd w:id="35"/>
    </w:p>
    <w:p w:rsidR="003A630B" w:rsidP="005C255F" w:rsidRDefault="00E041F6" w14:paraId="66B00C4A" w14:textId="3FA3CD2D">
      <w:pPr>
        <w:spacing w:line="240" w:lineRule="auto"/>
      </w:pPr>
      <w:r>
        <w:t>Toutes les entreprises doivent soumettre tous les documents énumérés ci-dessous. Les soumissions comporteront deux sections</w:t>
      </w:r>
      <w:r w:rsidR="00A35C4D">
        <w:t> </w:t>
      </w:r>
      <w:r>
        <w:t xml:space="preserve">: </w:t>
      </w:r>
    </w:p>
    <w:p w:rsidR="002E629F" w:rsidP="005C255F" w:rsidRDefault="00C06349" w14:paraId="3688BBD7" w14:textId="16C02AE1">
      <w:pPr>
        <w:pStyle w:val="ListParagraph"/>
        <w:numPr>
          <w:ilvl w:val="0"/>
          <w:numId w:val="21"/>
        </w:numPr>
        <w:spacing w:line="240" w:lineRule="auto"/>
      </w:pPr>
      <w:r>
        <w:t>Dossier de proposition fictive (les entreprises doivent soumettre UN (1) dossier pour CHAQUE catégorie de services pour laquelle elles se portent candidates)</w:t>
      </w:r>
    </w:p>
    <w:p w:rsidR="00E041F6" w:rsidP="005C255F" w:rsidRDefault="00C06349" w14:paraId="68693286" w14:textId="0A03159C">
      <w:pPr>
        <w:pStyle w:val="ListParagraph"/>
        <w:numPr>
          <w:ilvl w:val="0"/>
          <w:numId w:val="21"/>
        </w:numPr>
        <w:spacing w:line="240" w:lineRule="auto"/>
      </w:pPr>
      <w:r>
        <w:t>Formulaires et documents d</w:t>
      </w:r>
      <w:r w:rsidR="00A35C4D">
        <w:t>’</w:t>
      </w:r>
      <w:r>
        <w:t>éligibilité (un seul jeu de formulaires est requis par entreprise)</w:t>
      </w:r>
    </w:p>
    <w:p w:rsidRPr="00E041F6" w:rsidR="00E1454E" w:rsidP="005C255F" w:rsidRDefault="00E1454E" w14:paraId="099DC243" w14:textId="77777777">
      <w:pPr>
        <w:pStyle w:val="ListParagraph"/>
        <w:spacing w:after="0" w:line="240" w:lineRule="auto"/>
      </w:pPr>
    </w:p>
    <w:p w:rsidRPr="00AA4FDB" w:rsidR="00766748" w:rsidP="005C255F" w:rsidRDefault="3DE35A01" w14:paraId="6CA3D7B5" w14:textId="6379A22C" w14:noSpellErr="1">
      <w:pPr>
        <w:pStyle w:val="Heading3"/>
        <w:spacing w:line="240" w:lineRule="auto"/>
      </w:pPr>
      <w:bookmarkStart w:name="_1f9ysgt8y8an" w:id="36"/>
      <w:bookmarkStart w:name="_pg6psss5sb3p" w:id="37"/>
      <w:bookmarkStart w:name="_Toc148097444" w:id="38"/>
      <w:bookmarkEnd w:id="36"/>
      <w:bookmarkEnd w:id="37"/>
      <w:r w:rsidR="3DE35A01">
        <w:rPr/>
        <w:t>3.5.1</w:t>
      </w:r>
      <w:r>
        <w:tab/>
      </w:r>
      <w:r w:rsidR="3DE35A01">
        <w:rPr/>
        <w:t xml:space="preserve">Modèle de proposition fictive (1 PAR catégorie de service) | </w:t>
      </w:r>
      <w:hyperlink r:id="R5e8de9c3671b49c0">
        <w:r w:rsidRPr="01568136" w:rsidR="3DE35A01">
          <w:rPr>
            <w:rStyle w:val="Hyperlink"/>
          </w:rPr>
          <w:t>MODÈLE ICI</w:t>
        </w:r>
      </w:hyperlink>
      <w:bookmarkEnd w:id="38"/>
      <w:r w:rsidR="3DE35A01">
        <w:rPr/>
        <w:t xml:space="preserve"> </w:t>
      </w:r>
    </w:p>
    <w:p w:rsidR="00331B95" w:rsidP="005C255F" w:rsidRDefault="00690690" w14:paraId="087B60E3" w14:textId="331B40CF" w14:noSpellErr="1">
      <w:pPr>
        <w:spacing w:line="240" w:lineRule="auto"/>
      </w:pPr>
      <w:r w:rsidR="00690690">
        <w:rPr/>
        <w:t>À l</w:t>
      </w:r>
      <w:r w:rsidR="00A35C4D">
        <w:rPr/>
        <w:t>’</w:t>
      </w:r>
      <w:r w:rsidR="00690690">
        <w:rPr/>
        <w:t xml:space="preserve">aide du modèle de proposition mentionné ci-dessus, veuillez soumettre </w:t>
      </w:r>
      <w:r w:rsidRPr="01568136" w:rsidR="00690690">
        <w:rPr>
          <w:b w:val="1"/>
          <w:bCs w:val="1"/>
        </w:rPr>
        <w:t>UN dossier de proposition fictive</w:t>
      </w:r>
      <w:r w:rsidR="00690690">
        <w:rPr/>
        <w:t xml:space="preserve"> en réponse à ces</w:t>
      </w:r>
      <w:r w:rsidRPr="01568136" w:rsidR="00690690">
        <w:rPr>
          <w:b w:val="1"/>
          <w:bCs w:val="1"/>
        </w:rPr>
        <w:t xml:space="preserve"> </w:t>
      </w:r>
      <w:r w:rsidR="00690690">
        <w:rPr/>
        <w:t xml:space="preserve">cahiers des charges fictifs </w:t>
      </w:r>
      <w:r w:rsidRPr="01568136" w:rsidR="00690690">
        <w:rPr>
          <w:b w:val="1"/>
          <w:bCs w:val="1"/>
        </w:rPr>
        <w:t>pour CHAQUE catégorie de services</w:t>
      </w:r>
      <w:r w:rsidR="00690690">
        <w:rPr/>
        <w:t xml:space="preserve"> pour laquelle vous souhaitez être évalué. La proposition doit être basée sur le projet tel qu</w:t>
      </w:r>
      <w:r w:rsidR="00A35C4D">
        <w:rPr/>
        <w:t>’</w:t>
      </w:r>
      <w:r w:rsidR="00690690">
        <w:rPr/>
        <w:t xml:space="preserve">il est décrit dans le cahier des charges fictif. </w:t>
      </w:r>
      <w:r w:rsidRPr="01568136" w:rsidR="00690690">
        <w:rPr>
          <w:b w:val="1"/>
          <w:bCs w:val="1"/>
          <w:color w:val="C00000"/>
        </w:rPr>
        <w:t>Pour la catégorie de services «</w:t>
      </w:r>
      <w:r w:rsidRPr="01568136" w:rsidR="00A35C4D">
        <w:rPr>
          <w:b w:val="1"/>
          <w:bCs w:val="1"/>
          <w:color w:val="C00000"/>
        </w:rPr>
        <w:t> </w:t>
      </w:r>
      <w:r w:rsidRPr="01568136" w:rsidR="00690690">
        <w:rPr>
          <w:b w:val="1"/>
          <w:bCs w:val="1"/>
          <w:color w:val="C00000"/>
        </w:rPr>
        <w:t>Études formatives</w:t>
      </w:r>
      <w:r w:rsidRPr="01568136" w:rsidR="00A35C4D">
        <w:rPr>
          <w:b w:val="1"/>
          <w:bCs w:val="1"/>
          <w:color w:val="C00000"/>
        </w:rPr>
        <w:t> </w:t>
      </w:r>
      <w:r w:rsidRPr="01568136" w:rsidR="00690690">
        <w:rPr>
          <w:b w:val="1"/>
          <w:bCs w:val="1"/>
          <w:color w:val="C00000"/>
        </w:rPr>
        <w:t xml:space="preserve">», les candidats peuvent choisir UN des trois cahiers des charges fictifs pour fonder </w:t>
      </w:r>
      <w:r w:rsidRPr="01568136" w:rsidR="00690690">
        <w:rPr>
          <w:b w:val="1"/>
          <w:bCs w:val="1"/>
          <w:color w:val="C00000"/>
        </w:rPr>
        <w:t>leur proposition.</w:t>
      </w:r>
      <w:r w:rsidR="00690690">
        <w:rPr/>
        <w:t xml:space="preserve"> Veuillez respecter scrupuleusement le nombre limite de pages pour chaque section, comme indiqué ci-dessous. </w:t>
      </w:r>
      <w:r w:rsidRPr="01568136" w:rsidR="00690690">
        <w:rPr>
          <w:b w:val="1"/>
          <w:bCs w:val="1"/>
        </w:rPr>
        <w:t>Les examinateurs ne tiendront pas compte des pages dépassant les limites indiquées ci-dessous.</w:t>
      </w:r>
      <w:r w:rsidR="00690690">
        <w:rPr/>
        <w:t xml:space="preserve"> L</w:t>
      </w:r>
      <w:r w:rsidR="00A35C4D">
        <w:rPr/>
        <w:t>’</w:t>
      </w:r>
      <w:r w:rsidR="00690690">
        <w:rPr/>
        <w:t>absence d</w:t>
      </w:r>
      <w:r w:rsidR="00A35C4D">
        <w:rPr/>
        <w:t>’</w:t>
      </w:r>
      <w:r w:rsidR="00690690">
        <w:rPr/>
        <w:t>une des informations requises peut entraîner la disqualification du candidat. Les propositions doivent être soumises sous la forme d</w:t>
      </w:r>
      <w:r w:rsidR="00A35C4D">
        <w:rPr/>
        <w:t>’</w:t>
      </w:r>
      <w:r w:rsidR="00690690">
        <w:rPr/>
        <w:t>un fichier PDF combiné (un par catégorie de service). Chaque dossier de proposition doit comprendre</w:t>
      </w:r>
    </w:p>
    <w:p w:rsidR="003A4C98" w:rsidP="005C255F" w:rsidRDefault="45727642" w14:paraId="684E7A12" w14:textId="00A0063D">
      <w:pPr>
        <w:pStyle w:val="ListParagraph"/>
        <w:numPr>
          <w:ilvl w:val="0"/>
          <w:numId w:val="18"/>
        </w:numPr>
        <w:spacing w:line="240" w:lineRule="auto"/>
      </w:pPr>
      <w:r>
        <w:rPr>
          <w:b/>
          <w:color w:val="4F80BD"/>
        </w:rPr>
        <w:t>Lettre de présentation</w:t>
      </w:r>
      <w:r>
        <w:t xml:space="preserve"> (500 mots maximum)</w:t>
      </w:r>
      <w:r>
        <w:rPr>
          <w:b/>
          <w:color w:val="4F80BD"/>
        </w:rPr>
        <w:t xml:space="preserve">. </w:t>
      </w:r>
      <w:r>
        <w:t>Soumettre une lettre d</w:t>
      </w:r>
      <w:r w:rsidR="00A35C4D">
        <w:t>’</w:t>
      </w:r>
      <w:r>
        <w:t>accompagnement qui familiarise les examinateurs avec la compréhension de l</w:t>
      </w:r>
      <w:r w:rsidR="00A35C4D">
        <w:t>’</w:t>
      </w:r>
      <w:r>
        <w:t>entreprise et sa capacité à fournir les services demandés dans cette catégorie de services. L</w:t>
      </w:r>
      <w:r w:rsidR="00A35C4D">
        <w:t>’</w:t>
      </w:r>
      <w:r>
        <w:t>objectif du résumé est de présenter brièvement les capacités, l</w:t>
      </w:r>
      <w:r w:rsidR="00A35C4D">
        <w:t>’</w:t>
      </w:r>
      <w:r>
        <w:t>expérience et l</w:t>
      </w:r>
      <w:r w:rsidR="00A35C4D">
        <w:t>’</w:t>
      </w:r>
      <w:r>
        <w:t>intérêt de l</w:t>
      </w:r>
      <w:r w:rsidR="00A35C4D">
        <w:t>’</w:t>
      </w:r>
      <w:r>
        <w:t>entreprise pour la réalisation d</w:t>
      </w:r>
      <w:r w:rsidR="00A35C4D">
        <w:t>’</w:t>
      </w:r>
      <w:r>
        <w:t xml:space="preserve">un ou plusieurs des services décrits à la </w:t>
      </w:r>
      <w:hyperlink w:anchor="_Overview_of_Desired">
        <w:r>
          <w:rPr>
            <w:rStyle w:val="Hyperlink"/>
          </w:rPr>
          <w:t>section</w:t>
        </w:r>
        <w:r w:rsidR="00A35C4D">
          <w:rPr>
            <w:rStyle w:val="Hyperlink"/>
          </w:rPr>
          <w:t> </w:t>
        </w:r>
        <w:r>
          <w:rPr>
            <w:rStyle w:val="Hyperlink"/>
          </w:rPr>
          <w:t>1.2</w:t>
        </w:r>
      </w:hyperlink>
    </w:p>
    <w:p w:rsidRPr="008737C9" w:rsidR="008737C9" w:rsidP="005C255F" w:rsidRDefault="008737C9" w14:paraId="5FC34F0C" w14:textId="77777777">
      <w:pPr>
        <w:pStyle w:val="ListParagraph"/>
        <w:spacing w:line="240" w:lineRule="auto"/>
        <w:ind w:left="1080"/>
      </w:pPr>
    </w:p>
    <w:p w:rsidRPr="00D56D0A" w:rsidR="00752C36" w:rsidP="005C255F" w:rsidRDefault="34824B6A" w14:paraId="367E395C" w14:textId="4D27E358">
      <w:pPr>
        <w:pStyle w:val="ListParagraph"/>
        <w:numPr>
          <w:ilvl w:val="0"/>
          <w:numId w:val="18"/>
        </w:numPr>
        <w:spacing w:line="240" w:lineRule="auto"/>
        <w:rPr>
          <w:rFonts w:eastAsiaTheme="majorEastAsia"/>
          <w:b/>
          <w:bCs/>
          <w:color w:val="4F81BD" w:themeColor="accent1"/>
        </w:rPr>
      </w:pPr>
      <w:r>
        <w:rPr>
          <w:b/>
          <w:color w:val="4F81BD" w:themeColor="accent1"/>
        </w:rPr>
        <w:t>Proposition technique</w:t>
      </w:r>
      <w:r>
        <w:t xml:space="preserve"> (3 pages maximum en Arial 10</w:t>
      </w:r>
      <w:r w:rsidR="00A35C4D">
        <w:t> </w:t>
      </w:r>
      <w:r>
        <w:t>points, interligne simple). La proposition technique sera utilisée pour évaluer les compétences techniques de l</w:t>
      </w:r>
      <w:r w:rsidR="00A35C4D">
        <w:t>’</w:t>
      </w:r>
      <w:r>
        <w:t>entreprise et sa capacité à fournir une assistance de haute qualité dans une catégorie de services donnée.</w:t>
      </w:r>
    </w:p>
    <w:p w:rsidRPr="00D56D0A" w:rsidR="00D56D0A" w:rsidP="005C255F" w:rsidRDefault="00D56D0A" w14:paraId="424CE3C9" w14:textId="77777777">
      <w:pPr>
        <w:pStyle w:val="ListParagraph"/>
        <w:spacing w:line="240" w:lineRule="auto"/>
        <w:ind w:left="1080"/>
      </w:pPr>
    </w:p>
    <w:p w:rsidR="5C568A2A" w:rsidP="005C255F" w:rsidRDefault="13BD714E" w14:paraId="4F3C5042" w14:textId="714E89C5">
      <w:pPr>
        <w:pStyle w:val="ListParagraph"/>
        <w:numPr>
          <w:ilvl w:val="0"/>
          <w:numId w:val="18"/>
        </w:numPr>
        <w:spacing w:after="0" w:line="240" w:lineRule="auto"/>
        <w:rPr>
          <w:rFonts w:eastAsia="MS Mincho"/>
        </w:rPr>
      </w:pPr>
      <w:r>
        <w:rPr>
          <w:b/>
          <w:color w:val="4F80BD"/>
        </w:rPr>
        <w:t>Proposition de niveau d</w:t>
      </w:r>
      <w:r w:rsidR="00A35C4D">
        <w:rPr>
          <w:b/>
          <w:color w:val="4F80BD"/>
        </w:rPr>
        <w:t>’</w:t>
      </w:r>
      <w:r>
        <w:rPr>
          <w:b/>
          <w:color w:val="4F80BD"/>
        </w:rPr>
        <w:t>effort (LOE)</w:t>
      </w:r>
      <w:r>
        <w:t xml:space="preserve"> (tableau fourni). La proposition de lettre d</w:t>
      </w:r>
      <w:r w:rsidR="00A35C4D">
        <w:t>’</w:t>
      </w:r>
      <w:r>
        <w:t>intention sera utilisée pour évaluer l</w:t>
      </w:r>
      <w:r w:rsidR="00A35C4D">
        <w:t>’</w:t>
      </w:r>
      <w:r>
        <w:t>efficacité générale et la rentabilité de l</w:t>
      </w:r>
      <w:r w:rsidR="00A35C4D">
        <w:t>’</w:t>
      </w:r>
      <w:r>
        <w:t>entreprise. Les entreprises seront notées en fonction de la pertinence de l</w:t>
      </w:r>
      <w:r w:rsidR="00A35C4D">
        <w:t>’</w:t>
      </w:r>
      <w:r>
        <w:t>estimation de la lettre d</w:t>
      </w:r>
      <w:r w:rsidR="00A35C4D">
        <w:t>’</w:t>
      </w:r>
      <w:r>
        <w:t>intention, à la fois en termes de nombre d</w:t>
      </w:r>
      <w:r w:rsidR="00A35C4D">
        <w:t>’</w:t>
      </w:r>
      <w:r>
        <w:t>employés (et de leur localisation) et de nombre de jours facturables suggérés compte tenu de l</w:t>
      </w:r>
      <w:r w:rsidR="00A35C4D">
        <w:t>’</w:t>
      </w:r>
      <w:r>
        <w:t xml:space="preserve">ampleur du projet. </w:t>
      </w:r>
      <w:r>
        <w:rPr>
          <w:b/>
        </w:rPr>
        <w:t>Veuillez noter que les deux rôles demandés, décrits dans le cahier des charges à la section «</w:t>
      </w:r>
      <w:r w:rsidR="00A35C4D">
        <w:rPr>
          <w:b/>
        </w:rPr>
        <w:t> </w:t>
      </w:r>
      <w:r>
        <w:rPr>
          <w:b/>
        </w:rPr>
        <w:t>Soumissions de CV</w:t>
      </w:r>
      <w:r w:rsidR="00A35C4D">
        <w:rPr>
          <w:b/>
        </w:rPr>
        <w:t> </w:t>
      </w:r>
      <w:r>
        <w:rPr>
          <w:b/>
        </w:rPr>
        <w:t xml:space="preserve">», </w:t>
      </w:r>
      <w:r>
        <w:rPr>
          <w:b/>
          <w:i/>
        </w:rPr>
        <w:t>ne concernent</w:t>
      </w:r>
      <w:r>
        <w:rPr>
          <w:b/>
        </w:rPr>
        <w:t xml:space="preserve"> </w:t>
      </w:r>
      <w:r>
        <w:rPr>
          <w:b/>
          <w:i/>
        </w:rPr>
        <w:t>que les soumissions de CV</w:t>
      </w:r>
      <w:r>
        <w:rPr>
          <w:b/>
        </w:rPr>
        <w:t xml:space="preserve"> (voir ci-dessous).</w:t>
      </w:r>
      <w:r>
        <w:t xml:space="preserve"> Pour les propositions de lettres d</w:t>
      </w:r>
      <w:r w:rsidR="00A35C4D">
        <w:t>’</w:t>
      </w:r>
      <w:r>
        <w:t>intention, les entreprises ne doivent pas tenir compte du nombre et du niveau des rôles décrits dans cette section et doivent plutôt proposer le nombre et la combinaison de consultants qu</w:t>
      </w:r>
      <w:r w:rsidR="00A35C4D">
        <w:t>’</w:t>
      </w:r>
      <w:r>
        <w:t>elles jugent appropriés pour le projet. Par exemple</w:t>
      </w:r>
      <w:r w:rsidR="00A35C4D">
        <w:t> </w:t>
      </w:r>
      <w:r>
        <w:t>: bien qu</w:t>
      </w:r>
      <w:r w:rsidR="00A35C4D">
        <w:t>’</w:t>
      </w:r>
      <w:r>
        <w:t>une entreprise ne soumette que deux CV correspondant aux profils demandés dans le cahier des charges, elle recommande, dans sa proposition de lettre d</w:t>
      </w:r>
      <w:r w:rsidR="00A35C4D">
        <w:t>’</w:t>
      </w:r>
      <w:r>
        <w:t>intention, 6</w:t>
      </w:r>
      <w:r w:rsidR="00A35C4D">
        <w:t> </w:t>
      </w:r>
      <w:r>
        <w:t>personnes au total pour le projet</w:t>
      </w:r>
      <w:r w:rsidR="00A35C4D">
        <w:t> </w:t>
      </w:r>
      <w:r>
        <w:t>: 1 chef de projet, 1</w:t>
      </w:r>
      <w:r w:rsidR="00A35C4D">
        <w:t> </w:t>
      </w:r>
      <w:r>
        <w:t>spécialiste technique, 1</w:t>
      </w:r>
      <w:r w:rsidR="00A35C4D">
        <w:t> </w:t>
      </w:r>
      <w:r>
        <w:t>analyste et 3</w:t>
      </w:r>
      <w:r w:rsidR="00A35C4D">
        <w:t> </w:t>
      </w:r>
      <w:r>
        <w:t>agents recenseurs).</w:t>
      </w:r>
    </w:p>
    <w:p w:rsidRPr="00D56D0A" w:rsidR="00D56D0A" w:rsidP="005C255F" w:rsidRDefault="00D56D0A" w14:paraId="2921AF82" w14:textId="77777777">
      <w:pPr>
        <w:pStyle w:val="ListParagraph"/>
        <w:spacing w:after="0" w:line="240" w:lineRule="auto"/>
        <w:ind w:left="1080"/>
        <w:rPr>
          <w:rFonts w:eastAsiaTheme="majorEastAsia"/>
          <w:b/>
          <w:bCs/>
          <w:color w:val="4F81BD" w:themeColor="accent1"/>
        </w:rPr>
      </w:pPr>
    </w:p>
    <w:p w:rsidRPr="00D56D0A" w:rsidR="002D7C79" w:rsidP="005C255F" w:rsidRDefault="720EB000" w14:paraId="3DF5BB95" w14:textId="6F38105A">
      <w:pPr>
        <w:pStyle w:val="ListParagraph"/>
        <w:numPr>
          <w:ilvl w:val="0"/>
          <w:numId w:val="18"/>
        </w:numPr>
        <w:spacing w:line="240" w:lineRule="auto"/>
        <w:rPr>
          <w:rFonts w:eastAsiaTheme="majorEastAsia"/>
          <w:b/>
          <w:bCs/>
          <w:color w:val="4F81BD" w:themeColor="accent1"/>
        </w:rPr>
      </w:pPr>
      <w:r>
        <w:rPr>
          <w:b/>
          <w:color w:val="4F81BD" w:themeColor="accent1"/>
        </w:rPr>
        <w:t>Les CV</w:t>
      </w:r>
      <w:r>
        <w:t xml:space="preserve"> de DEUX (2) membres du personnel actuels et qualifiés (2 pages maximum par CV</w:t>
      </w:r>
      <w:r w:rsidR="00A35C4D">
        <w:t> </w:t>
      </w:r>
      <w:r>
        <w:t xml:space="preserve">; </w:t>
      </w:r>
      <w:r>
        <w:rPr>
          <w:b/>
        </w:rPr>
        <w:t>veuillez utiliser le modèle de CV fourni</w:t>
      </w:r>
      <w:r>
        <w:t>)</w:t>
      </w:r>
      <w:r w:rsidR="00A35C4D">
        <w:t> </w:t>
      </w:r>
      <w:r>
        <w:t>: un CV pour un chef de projet</w:t>
      </w:r>
      <w:r w:rsidR="00A35C4D">
        <w:t>/</w:t>
      </w:r>
      <w:r>
        <w:t>spécialiste senior et un CV pour un chercheur</w:t>
      </w:r>
      <w:r w:rsidR="00A35C4D">
        <w:t>/</w:t>
      </w:r>
      <w:r>
        <w:t>analyste de niveau intermédiaire. Les CV du personnel seront utilisés pour déterminer si les entreprises disposent d</w:t>
      </w:r>
      <w:r w:rsidR="00A35C4D">
        <w:t>’</w:t>
      </w:r>
      <w:r>
        <w:t>un personnel possédant l</w:t>
      </w:r>
      <w:r w:rsidR="00A35C4D">
        <w:t>’</w:t>
      </w:r>
      <w:r>
        <w:t>expérience et les compétences requises pour répondre aux besoins des équipes de Mercy Corps en ce qui concerne les catégories de services visées dans le présent RFQ.</w:t>
      </w:r>
    </w:p>
    <w:p w:rsidRPr="00D56D0A" w:rsidR="00D56D0A" w:rsidP="005C255F" w:rsidRDefault="00D56D0A" w14:paraId="1DD2A151" w14:textId="77777777">
      <w:pPr>
        <w:pStyle w:val="ListParagraph"/>
        <w:spacing w:line="240" w:lineRule="auto"/>
        <w:ind w:left="1080"/>
        <w:rPr>
          <w:rFonts w:eastAsiaTheme="majorEastAsia"/>
          <w:b/>
          <w:bCs/>
          <w:color w:val="4F81BD" w:themeColor="accent1"/>
        </w:rPr>
      </w:pPr>
    </w:p>
    <w:p w:rsidRPr="00D92D46" w:rsidR="00D92D46" w:rsidP="005C255F" w:rsidRDefault="42DEF41A" w14:paraId="7BF6C27E" w14:textId="1A571EDF">
      <w:pPr>
        <w:pStyle w:val="ListParagraph"/>
        <w:numPr>
          <w:ilvl w:val="0"/>
          <w:numId w:val="18"/>
        </w:numPr>
        <w:spacing w:after="0" w:line="240" w:lineRule="auto"/>
      </w:pPr>
      <w:r>
        <w:rPr>
          <w:b/>
          <w:color w:val="4F80BD"/>
        </w:rPr>
        <w:t>DEUX (2) extraits d</w:t>
      </w:r>
      <w:r w:rsidR="00A35C4D">
        <w:rPr>
          <w:b/>
          <w:color w:val="4F80BD"/>
        </w:rPr>
        <w:t>’</w:t>
      </w:r>
      <w:r>
        <w:rPr>
          <w:b/>
          <w:color w:val="4F80BD"/>
        </w:rPr>
        <w:t>échantillons de travail</w:t>
      </w:r>
      <w:r>
        <w:t>. Des extraits d</w:t>
      </w:r>
      <w:r w:rsidR="00A35C4D">
        <w:t>’</w:t>
      </w:r>
      <w:r>
        <w:t>échantillons de travail seront utilisés pour évaluer les performances passées des entreprises et déterminer si elles ont l</w:t>
      </w:r>
      <w:r w:rsidR="00A35C4D">
        <w:t>’</w:t>
      </w:r>
      <w:r>
        <w:t>habitude de fournir des services similaires à ceux décrits dans le présent RFQ. Ne pas inclure d</w:t>
      </w:r>
      <w:r w:rsidR="00A35C4D">
        <w:t>’</w:t>
      </w:r>
      <w:r>
        <w:t>annexes.</w:t>
      </w:r>
    </w:p>
    <w:p w:rsidRPr="00D92D46" w:rsidR="00D92D46" w:rsidP="005C255F" w:rsidRDefault="00D92D46" w14:paraId="22FDC18B" w14:textId="77777777">
      <w:pPr>
        <w:spacing w:after="0" w:line="240" w:lineRule="auto"/>
        <w:rPr>
          <w:rFonts w:eastAsiaTheme="majorEastAsia"/>
          <w:b/>
          <w:bCs/>
          <w:color w:val="4F81BD" w:themeColor="accent1"/>
        </w:rPr>
      </w:pPr>
    </w:p>
    <w:p w:rsidR="00AA3566" w:rsidP="005C255F" w:rsidRDefault="00AA3566" w14:paraId="3B31414A" w14:textId="1B48089C">
      <w:pPr>
        <w:pStyle w:val="Heading3"/>
        <w:spacing w:after="240" w:line="240" w:lineRule="auto"/>
      </w:pPr>
      <w:bookmarkStart w:name="_Toc148097445" w:id="39"/>
      <w:r>
        <w:t>3.5.2 Formulaires et documents d</w:t>
      </w:r>
      <w:r w:rsidR="00A35C4D">
        <w:t>’</w:t>
      </w:r>
      <w:r>
        <w:t>éligibilité (un seul jeu de formulaires par entreprise)</w:t>
      </w:r>
      <w:bookmarkEnd w:id="39"/>
    </w:p>
    <w:p w:rsidR="00BF0A34" w:rsidP="005C255F" w:rsidRDefault="64D13961" w14:paraId="3496D65F" w14:textId="0D370B24" w14:noSpellErr="1">
      <w:pPr>
        <w:pStyle w:val="Heading3"/>
        <w:numPr>
          <w:ilvl w:val="0"/>
          <w:numId w:val="18"/>
        </w:numPr>
        <w:spacing w:line="240" w:lineRule="auto"/>
        <w:rPr/>
      </w:pPr>
      <w:bookmarkStart w:name="_Toc148097446" w:id="40"/>
      <w:r w:rsidR="64D13961">
        <w:rPr/>
        <w:t xml:space="preserve">Références | </w:t>
      </w:r>
      <w:hyperlink r:id="Rae9b72406a974e2d">
        <w:r w:rsidRPr="01568136" w:rsidR="64D13961">
          <w:rPr>
            <w:rStyle w:val="Hyperlink"/>
          </w:rPr>
          <w:t>MODÈLE ICI</w:t>
        </w:r>
      </w:hyperlink>
      <w:bookmarkEnd w:id="40"/>
    </w:p>
    <w:p w:rsidR="008D488B" w:rsidP="005C255F" w:rsidRDefault="00126AFC" w14:paraId="32396977" w14:textId="5A424895">
      <w:pPr>
        <w:spacing w:after="0" w:line="240" w:lineRule="auto"/>
        <w:ind w:left="1080"/>
      </w:pPr>
      <w:r>
        <w:t>En utilisant le modèle ci-dessus, veuillez fournir trois références de clients qui peuvent témoigner de la qualité des services de l</w:t>
      </w:r>
      <w:r w:rsidR="00A35C4D">
        <w:t>’</w:t>
      </w:r>
      <w:r>
        <w:t>entreprise. Les références seront contactées dans le cadre de la phase de diligence raisonnable, uniquement lorsqu</w:t>
      </w:r>
      <w:r w:rsidR="00A35C4D">
        <w:t>’</w:t>
      </w:r>
      <w:r>
        <w:t>une entreprise aura passé l</w:t>
      </w:r>
      <w:r w:rsidR="00A35C4D">
        <w:t>’</w:t>
      </w:r>
      <w:r>
        <w:t>évaluation technique.</w:t>
      </w:r>
    </w:p>
    <w:p w:rsidR="00FD0D90" w:rsidP="005C255F" w:rsidRDefault="00FD0D90" w14:paraId="7A85C3D8" w14:textId="77777777">
      <w:pPr>
        <w:spacing w:after="0" w:line="240" w:lineRule="auto"/>
        <w:ind w:left="1080"/>
      </w:pPr>
    </w:p>
    <w:p w:rsidR="00FD0D90" w:rsidP="005C255F" w:rsidRDefault="540BC811" w14:paraId="27EED518" w14:textId="5FBA929E" w14:noSpellErr="1">
      <w:pPr>
        <w:pStyle w:val="Heading3"/>
        <w:numPr>
          <w:ilvl w:val="0"/>
          <w:numId w:val="18"/>
        </w:numPr>
        <w:spacing w:line="240" w:lineRule="auto"/>
        <w:rPr/>
      </w:pPr>
      <w:bookmarkStart w:name="_Toc148097447" w:id="41"/>
      <w:r w:rsidR="540BC811">
        <w:rPr/>
        <w:t xml:space="preserve">Fiche de prix | </w:t>
      </w:r>
      <w:hyperlink r:id="R0b2355de7b3c4587">
        <w:r w:rsidRPr="01568136" w:rsidR="540BC811">
          <w:rPr>
            <w:rStyle w:val="Hyperlink"/>
          </w:rPr>
          <w:t>MODÈLE ICI</w:t>
        </w:r>
      </w:hyperlink>
      <w:bookmarkEnd w:id="41"/>
    </w:p>
    <w:p w:rsidRPr="00FD0D90" w:rsidR="00FD0D90" w:rsidP="005C255F" w:rsidRDefault="006777F1" w14:paraId="74F01A53" w14:textId="48896DEB">
      <w:pPr>
        <w:spacing w:after="0" w:line="240" w:lineRule="auto"/>
        <w:ind w:left="1080"/>
      </w:pPr>
      <w:r>
        <w:t>Veuillez remplir la feuille d</w:t>
      </w:r>
      <w:r w:rsidR="00A35C4D">
        <w:t>’</w:t>
      </w:r>
      <w:r>
        <w:t>offre de prix mentionnée ci-dessus en indiquant les tarifs de main-d</w:t>
      </w:r>
      <w:r w:rsidR="00A35C4D">
        <w:t>’</w:t>
      </w:r>
      <w:r>
        <w:t xml:space="preserve">œuvre standard par type de poste et par niveau. </w:t>
      </w:r>
      <w:r>
        <w:rPr>
          <w:i/>
        </w:rPr>
        <w:t>Veuillez noter que les entreprises ne seront pas tenues de respecter ces taux si elles sont présélectionnées</w:t>
      </w:r>
      <w:r w:rsidR="00A35C4D">
        <w:t> </w:t>
      </w:r>
      <w:r>
        <w:t>; cependant, les taux doivent refléter les taux typiques utilisés lors de la préparation des propositions de budget afin de nous donner une idée générale des prix pratiqués par les entreprises.</w:t>
      </w:r>
    </w:p>
    <w:p w:rsidR="008D488B" w:rsidP="005C255F" w:rsidRDefault="008D488B" w14:paraId="6A8599F7" w14:textId="77777777">
      <w:pPr>
        <w:spacing w:after="0" w:line="240" w:lineRule="auto"/>
      </w:pPr>
    </w:p>
    <w:p w:rsidR="00BF0A34" w:rsidP="005C255F" w:rsidRDefault="64D13961" w14:paraId="433763B7" w14:textId="5B4AABDB">
      <w:pPr>
        <w:pStyle w:val="Heading3"/>
        <w:numPr>
          <w:ilvl w:val="0"/>
          <w:numId w:val="18"/>
        </w:numPr>
        <w:spacing w:before="0" w:line="240" w:lineRule="auto"/>
        <w:rPr/>
      </w:pPr>
      <w:bookmarkStart w:name="_Toc148097448" w:id="42"/>
      <w:r w:rsidR="64D13961">
        <w:rPr/>
        <w:t>Autocertification</w:t>
      </w:r>
      <w:r w:rsidR="64D13961">
        <w:rPr/>
        <w:t xml:space="preserve"> d</w:t>
      </w:r>
      <w:r w:rsidR="00A35C4D">
        <w:rPr/>
        <w:t>’</w:t>
      </w:r>
      <w:r w:rsidR="64D13961">
        <w:rPr/>
        <w:t xml:space="preserve">éligibilité | </w:t>
      </w:r>
      <w:hyperlink r:id="Rc5e36fa770c84698">
        <w:r w:rsidRPr="01568136" w:rsidR="64D13961">
          <w:rPr>
            <w:rStyle w:val="Hyperlink"/>
          </w:rPr>
          <w:t>MODÈLE ICI</w:t>
        </w:r>
      </w:hyperlink>
      <w:bookmarkEnd w:id="42"/>
    </w:p>
    <w:p w:rsidR="007F5820" w:rsidP="005C255F" w:rsidRDefault="008D488B" w14:paraId="2FD2E29D" w14:textId="4A400AEB">
      <w:pPr>
        <w:spacing w:line="240" w:lineRule="auto"/>
        <w:ind w:left="1080"/>
      </w:pPr>
      <w:r>
        <w:t>Veuillez compléter le formulaire d</w:t>
      </w:r>
      <w:r w:rsidR="00A35C4D">
        <w:t>’</w:t>
      </w:r>
      <w:proofErr w:type="spellStart"/>
      <w:r>
        <w:t>autocertification</w:t>
      </w:r>
      <w:proofErr w:type="spellEnd"/>
      <w:r>
        <w:t xml:space="preserve"> ci-dessus pour certifier que votre entreprise est éligible à la préqualification telle que définie dans la </w:t>
      </w:r>
      <w:hyperlink w:anchor="_3.1_Supplier_Eligibility">
        <w:r>
          <w:rPr>
            <w:rStyle w:val="Hyperlink"/>
          </w:rPr>
          <w:t>section</w:t>
        </w:r>
        <w:r w:rsidR="00A35C4D">
          <w:rPr>
            <w:rStyle w:val="Hyperlink"/>
          </w:rPr>
          <w:t> </w:t>
        </w:r>
        <w:r>
          <w:rPr>
            <w:rStyle w:val="Hyperlink"/>
          </w:rPr>
          <w:t>3.1</w:t>
        </w:r>
      </w:hyperlink>
    </w:p>
    <w:p w:rsidRPr="00D1569D" w:rsidR="00D1569D" w:rsidP="005C255F" w:rsidRDefault="5958C29E" w14:paraId="1AE7F094" w14:textId="15EFAA26">
      <w:pPr>
        <w:pStyle w:val="ListParagraph"/>
        <w:numPr>
          <w:ilvl w:val="0"/>
          <w:numId w:val="18"/>
        </w:numPr>
        <w:spacing w:before="240" w:line="240" w:lineRule="auto"/>
        <w:rPr>
          <w:rFonts w:eastAsia="MS Mincho"/>
          <w:b/>
        </w:rPr>
      </w:pPr>
      <w:r>
        <w:rPr>
          <w:b/>
          <w:color w:val="4F80BD"/>
        </w:rPr>
        <w:t>Documents d</w:t>
      </w:r>
      <w:r w:rsidR="00A35C4D">
        <w:rPr>
          <w:b/>
          <w:color w:val="4F80BD"/>
        </w:rPr>
        <w:t>’</w:t>
      </w:r>
      <w:r>
        <w:rPr>
          <w:b/>
          <w:color w:val="4F80BD"/>
        </w:rPr>
        <w:t>éligibilité</w:t>
      </w:r>
    </w:p>
    <w:p w:rsidRPr="00AA3566" w:rsidR="007F5820" w:rsidP="005C255F" w:rsidRDefault="00D1569D" w14:paraId="69B5EECF" w14:textId="003EE652">
      <w:pPr>
        <w:pStyle w:val="ListParagraph"/>
        <w:spacing w:before="240" w:line="240" w:lineRule="auto"/>
        <w:ind w:left="1080"/>
        <w:rPr>
          <w:rFonts w:eastAsia="MS Mincho"/>
          <w:b/>
        </w:rPr>
      </w:pPr>
      <w:r>
        <w:rPr>
          <w:color w:val="1E0E01" w:themeColor="accent6" w:themeShade="1A"/>
        </w:rPr>
        <w:t xml:space="preserve">Veuillez fournir une </w:t>
      </w:r>
      <w:r>
        <w:t>copie du certificat de constitution</w:t>
      </w:r>
      <w:r w:rsidR="00A35C4D">
        <w:t>/</w:t>
      </w:r>
      <w:r>
        <w:t>d</w:t>
      </w:r>
      <w:r w:rsidR="00A35C4D">
        <w:t>’</w:t>
      </w:r>
      <w:r>
        <w:t>enregistrement de votre société</w:t>
      </w:r>
      <w:r w:rsidR="00A35C4D">
        <w:t>/</w:t>
      </w:r>
      <w:r>
        <w:t>entreprise et un document indiquant que l</w:t>
      </w:r>
      <w:r w:rsidR="00A35C4D">
        <w:t>’</w:t>
      </w:r>
      <w:r>
        <w:t>entreprise se conforme aux exigences de la réglementation fiscale dans le pays où elle est constituée</w:t>
      </w:r>
      <w:r w:rsidR="00A35C4D">
        <w:t>/</w:t>
      </w:r>
      <w:r>
        <w:t>enregistrée.</w:t>
      </w:r>
    </w:p>
    <w:p w:rsidR="007F5820" w:rsidP="005C255F" w:rsidRDefault="5CD642E8" w14:paraId="307B75E7" w14:textId="304D75C9">
      <w:pPr>
        <w:pStyle w:val="Heading3"/>
        <w:numPr>
          <w:ilvl w:val="0"/>
          <w:numId w:val="18"/>
        </w:numPr>
        <w:spacing w:line="240" w:lineRule="auto"/>
        <w:rPr/>
      </w:pPr>
      <w:bookmarkStart w:name="_Toc148097449" w:id="43"/>
      <w:r w:rsidR="5CD642E8">
        <w:rPr/>
        <w:t>Formulaire d</w:t>
      </w:r>
      <w:r w:rsidR="00A35C4D">
        <w:rPr/>
        <w:t>’</w:t>
      </w:r>
      <w:r w:rsidR="5CD642E8">
        <w:rPr/>
        <w:t xml:space="preserve">information du fournisseur | </w:t>
      </w:r>
      <w:hyperlink r:id="R9e36bb3ca3af4e2c">
        <w:r w:rsidRPr="01568136" w:rsidR="5CD642E8">
          <w:rPr>
            <w:rStyle w:val="Hyperlink"/>
          </w:rPr>
          <w:t>MODÈLE ICI</w:t>
        </w:r>
      </w:hyperlink>
      <w:bookmarkEnd w:id="43"/>
    </w:p>
    <w:p w:rsidR="007F5820" w:rsidP="005C255F" w:rsidRDefault="007F5820" w14:paraId="21E56C0A" w14:textId="67A6CBAC">
      <w:pPr>
        <w:spacing w:after="0" w:line="240" w:lineRule="auto"/>
        <w:ind w:left="1080"/>
      </w:pPr>
      <w:r>
        <w:t>Veuillez compléter le modèle ci-dessus pour fournir des informations sur votre entreprise. Les informations seront utilisées au cours de la phase de diligence raisonnable pour les contrôles d</w:t>
      </w:r>
      <w:r w:rsidR="00A35C4D">
        <w:t>’</w:t>
      </w:r>
      <w:r>
        <w:t>éligibilité et de conformité.</w:t>
      </w:r>
    </w:p>
    <w:p w:rsidR="00E1454E" w:rsidP="005C255F" w:rsidRDefault="00E1454E" w14:paraId="4C2D31BE" w14:textId="77777777">
      <w:pPr>
        <w:spacing w:after="0" w:line="240" w:lineRule="auto"/>
        <w:ind w:left="1080"/>
      </w:pPr>
    </w:p>
    <w:p w:rsidRPr="00E1454E" w:rsidR="00E1454E" w:rsidP="005C255F" w:rsidRDefault="05556CBC" w14:paraId="5A580CAD" w14:textId="1322B78C">
      <w:pPr>
        <w:pStyle w:val="ListParagraph"/>
        <w:numPr>
          <w:ilvl w:val="0"/>
          <w:numId w:val="18"/>
        </w:numPr>
        <w:spacing w:line="240" w:lineRule="auto"/>
      </w:pPr>
      <w:r>
        <w:rPr>
          <w:b/>
          <w:color w:val="4F81BD" w:themeColor="accent1"/>
        </w:rPr>
        <w:t>Formulaire sur l</w:t>
      </w:r>
      <w:r w:rsidR="00A35C4D">
        <w:rPr>
          <w:b/>
          <w:color w:val="4F81BD" w:themeColor="accent1"/>
        </w:rPr>
        <w:t>’</w:t>
      </w:r>
      <w:r>
        <w:rPr>
          <w:b/>
          <w:color w:val="4F81BD" w:themeColor="accent1"/>
        </w:rPr>
        <w:t>esclavage moderne</w:t>
      </w:r>
      <w:r>
        <w:t xml:space="preserve"> </w:t>
      </w:r>
      <w:r>
        <w:rPr>
          <w:b/>
          <w:color w:val="4F81BD" w:themeColor="accent1"/>
        </w:rPr>
        <w:t xml:space="preserve">| </w:t>
      </w:r>
      <w:hyperlink w:history="1" r:id="rId13">
        <w:r w:rsidRPr="008E3CB1" w:rsidR="008E3CB1">
          <w:rPr>
            <w:rStyle w:val="Hyperlink"/>
            <w:b/>
          </w:rPr>
          <w:t>ONLINE FORM LINKED HERE</w:t>
        </w:r>
      </w:hyperlink>
    </w:p>
    <w:p w:rsidR="007F5820" w:rsidP="005C255F" w:rsidRDefault="20604C71" w14:paraId="118EE178" w14:textId="34B06756">
      <w:pPr>
        <w:pStyle w:val="ListParagraph"/>
        <w:spacing w:line="240" w:lineRule="auto"/>
        <w:ind w:left="1080"/>
        <w:rPr>
          <w:rFonts w:eastAsiaTheme="majorEastAsia"/>
          <w:color w:val="000000" w:themeColor="text1"/>
        </w:rPr>
      </w:pPr>
      <w:r>
        <w:rPr>
          <w:color w:val="000000" w:themeColor="text1"/>
        </w:rPr>
        <w:t xml:space="preserve">Veuillez compléter le formulaire ci-dessus en donnant le plus de </w:t>
      </w:r>
      <w:proofErr w:type="gramStart"/>
      <w:r>
        <w:rPr>
          <w:color w:val="000000" w:themeColor="text1"/>
        </w:rPr>
        <w:t>détails possible</w:t>
      </w:r>
      <w:proofErr w:type="gramEnd"/>
      <w:r>
        <w:rPr>
          <w:color w:val="000000" w:themeColor="text1"/>
        </w:rPr>
        <w:t>.</w:t>
      </w:r>
    </w:p>
    <w:p w:rsidR="79B31648" w:rsidP="005C255F" w:rsidRDefault="79B31648" w14:paraId="1D8DF2D9" w14:textId="1101D78F">
      <w:pPr>
        <w:pStyle w:val="ListParagraph"/>
        <w:spacing w:line="240" w:lineRule="auto"/>
        <w:ind w:left="1080"/>
        <w:rPr>
          <w:rFonts w:eastAsiaTheme="majorEastAsia"/>
          <w:color w:val="000000" w:themeColor="text1"/>
        </w:rPr>
      </w:pPr>
    </w:p>
    <w:p w:rsidR="00B047C2" w:rsidP="01568136" w:rsidRDefault="0551AEA0" w14:paraId="238D5B0C" w14:textId="3483E1F7" w14:noSpellErr="1">
      <w:pPr>
        <w:pStyle w:val="ListParagraph"/>
        <w:numPr>
          <w:ilvl w:val="0"/>
          <w:numId w:val="18"/>
        </w:numPr>
        <w:spacing w:line="240" w:lineRule="auto"/>
        <w:rPr>
          <w:rFonts w:eastAsia="ＭＳ ゴシック" w:eastAsiaTheme="majorEastAsia"/>
          <w:b w:val="1"/>
          <w:bCs w:val="1"/>
          <w:color w:val="4F81BD" w:themeColor="accent1"/>
        </w:rPr>
      </w:pPr>
      <w:r w:rsidRPr="01568136" w:rsidR="0551AEA0">
        <w:rPr>
          <w:b w:val="1"/>
          <w:bCs w:val="1"/>
          <w:color w:val="4F81BD" w:themeColor="accent1" w:themeTint="FF" w:themeShade="FF"/>
        </w:rPr>
        <w:t>Formulaire d</w:t>
      </w:r>
      <w:r w:rsidRPr="01568136" w:rsidR="00A35C4D">
        <w:rPr>
          <w:b w:val="1"/>
          <w:bCs w:val="1"/>
          <w:color w:val="4F81BD" w:themeColor="accent1" w:themeTint="FF" w:themeShade="FF"/>
        </w:rPr>
        <w:t>’</w:t>
      </w:r>
      <w:r w:rsidRPr="01568136" w:rsidR="0551AEA0">
        <w:rPr>
          <w:b w:val="1"/>
          <w:bCs w:val="1"/>
          <w:color w:val="4F81BD" w:themeColor="accent1" w:themeTint="FF" w:themeShade="FF"/>
        </w:rPr>
        <w:t xml:space="preserve">indication de la catégorie de service | </w:t>
      </w:r>
      <w:hyperlink r:id="Ra4feddcb35664b42">
        <w:r w:rsidRPr="01568136" w:rsidR="0551AEA0">
          <w:rPr>
            <w:rStyle w:val="Hyperlink"/>
            <w:b w:val="1"/>
            <w:bCs w:val="1"/>
          </w:rPr>
          <w:t>MODÈLE ICI</w:t>
        </w:r>
      </w:hyperlink>
    </w:p>
    <w:p w:rsidRPr="00267B09" w:rsidR="00B047C2" w:rsidP="005C255F" w:rsidRDefault="00B047C2" w14:paraId="00955810" w14:textId="4BB8A97B">
      <w:pPr>
        <w:pStyle w:val="ListParagraph"/>
        <w:spacing w:line="240" w:lineRule="auto"/>
        <w:ind w:left="1080"/>
        <w:rPr>
          <w:rFonts w:eastAsiaTheme="majorEastAsia"/>
          <w:color w:val="1E0E01" w:themeColor="accent6" w:themeShade="1A"/>
        </w:rPr>
      </w:pPr>
      <w:r>
        <w:rPr>
          <w:color w:val="1E0E01" w:themeColor="accent6" w:themeShade="1A"/>
        </w:rPr>
        <w:t>Veuillez remplir le modèle ci-dessus pour confirmer les catégories de services pour lesquelles votre entreprise postule.</w:t>
      </w:r>
    </w:p>
    <w:p w:rsidRPr="003F5030" w:rsidR="007F5820" w:rsidP="005C255F" w:rsidRDefault="5FCA666B" w14:paraId="4A0E7443" w14:textId="72A15E39">
      <w:pPr>
        <w:pStyle w:val="Heading3"/>
        <w:numPr>
          <w:ilvl w:val="0"/>
          <w:numId w:val="18"/>
        </w:numPr>
        <w:spacing w:line="240" w:lineRule="auto"/>
        <w:rPr/>
      </w:pPr>
      <w:bookmarkStart w:name="_Toc148097450" w:id="44"/>
      <w:r w:rsidR="5FCA666B">
        <w:rPr/>
        <w:t>Autocertification</w:t>
      </w:r>
      <w:r w:rsidR="5FCA666B">
        <w:rPr/>
        <w:t xml:space="preserve"> de diversité des fournisseurs (</w:t>
      </w:r>
      <w:r w:rsidRPr="01568136" w:rsidR="5FCA666B">
        <w:rPr>
          <w:i w:val="1"/>
          <w:iCs w:val="1"/>
        </w:rPr>
        <w:t>le cas échéant</w:t>
      </w:r>
      <w:r w:rsidR="5FCA666B">
        <w:rPr/>
        <w:t xml:space="preserve">) | </w:t>
      </w:r>
      <w:hyperlink r:id="R22b85eedc50e4ef9">
        <w:r w:rsidRPr="01568136" w:rsidR="5FCA666B">
          <w:rPr>
            <w:rStyle w:val="Hyperlink"/>
          </w:rPr>
          <w:t>MODÈLE ICI</w:t>
        </w:r>
      </w:hyperlink>
      <w:bookmarkEnd w:id="44"/>
    </w:p>
    <w:p w:rsidR="00AA3566" w:rsidP="005C255F" w:rsidRDefault="1EAA4C9F" w14:paraId="5636FF9B" w14:textId="208F783C">
      <w:pPr>
        <w:spacing w:line="240" w:lineRule="auto"/>
        <w:ind w:left="1080"/>
      </w:pPr>
      <w:r>
        <w:t>Mercy Corps s</w:t>
      </w:r>
      <w:r w:rsidR="00A35C4D">
        <w:t>’</w:t>
      </w:r>
      <w:r>
        <w:t>engage à respecter la diversité des fournisseurs. Veuillez remplir le modèle ci-dessus pour certifier que votre entreprise est une entreprise détenue par des personnes issues de la diversité et fournir toute documentation supplémentaire à l</w:t>
      </w:r>
      <w:r w:rsidR="00A35C4D">
        <w:t>’</w:t>
      </w:r>
      <w:r>
        <w:t xml:space="preserve">appui. Aux fins du présent appel à qualification, </w:t>
      </w:r>
      <w:r>
        <w:rPr>
          <w:b/>
        </w:rPr>
        <w:t>nous définissons les entreprises appartenant à la diversité comme étant des petites entreprises* OR appartenant à des femmes, des minorités*, des personnes LGBTQ+ ou des personnes handicapées.</w:t>
      </w:r>
      <w:r>
        <w:t xml:space="preserve"> Les entreprises qui sont considérées comme appartenant à l</w:t>
      </w:r>
      <w:r w:rsidR="00A35C4D">
        <w:t>’</w:t>
      </w:r>
      <w:r>
        <w:t>une de ces catégories recevront des points bonus pour leur candidature selon les critères de notation ci-dessous.</w:t>
      </w:r>
    </w:p>
    <w:p w:rsidR="05F23847" w:rsidP="005C255F" w:rsidRDefault="05F23847" w14:paraId="68371108" w14:textId="08EAD576">
      <w:pPr>
        <w:spacing w:line="240" w:lineRule="auto"/>
        <w:ind w:left="1080"/>
      </w:pPr>
      <w:r>
        <w:t>*Une petite entreprise est une entreprise qui emploie moins de 100</w:t>
      </w:r>
      <w:r w:rsidR="00A35C4D">
        <w:t> </w:t>
      </w:r>
      <w:r>
        <w:t>personnes et dont le chiffre d</w:t>
      </w:r>
      <w:r w:rsidR="00A35C4D">
        <w:t>’</w:t>
      </w:r>
      <w:r>
        <w:t>affaires annuel est inférieur à 8</w:t>
      </w:r>
      <w:r w:rsidR="00A35C4D">
        <w:t> </w:t>
      </w:r>
      <w:r>
        <w:t>millions de dollars américains.</w:t>
      </w:r>
    </w:p>
    <w:p w:rsidR="61EB5D05" w:rsidP="005C255F" w:rsidRDefault="47FDD64F" w14:paraId="6139871D" w14:textId="340BD51A">
      <w:pPr>
        <w:spacing w:line="240" w:lineRule="auto"/>
        <w:ind w:left="1080"/>
      </w:pPr>
      <w:r>
        <w:t>*Une minorité est une personne qui fait partie d</w:t>
      </w:r>
      <w:r w:rsidR="00A35C4D">
        <w:t>’</w:t>
      </w:r>
      <w:r>
        <w:t>un groupe marginalisé, y compris les minorités raciales, ethniques ou de castes.</w:t>
      </w:r>
    </w:p>
    <w:p w:rsidRPr="00331B95" w:rsidR="00766748" w:rsidP="005C255F" w:rsidRDefault="00331B95" w14:paraId="717FD74C" w14:textId="44FB19FE">
      <w:pPr>
        <w:pStyle w:val="Heading1"/>
        <w:rPr>
          <w:i/>
        </w:rPr>
      </w:pPr>
      <w:bookmarkStart w:name="_mz2qb3ux9hv4" w:id="45"/>
      <w:bookmarkStart w:name="_ai5adjrokm98" w:colFirst="0" w:colLast="0" w:id="46"/>
      <w:bookmarkStart w:name="_sce45h6ngfor" w:colFirst="0" w:colLast="0" w:id="47"/>
      <w:bookmarkStart w:name="_Toc148097451" w:id="48"/>
      <w:bookmarkEnd w:id="45"/>
      <w:bookmarkEnd w:id="46"/>
      <w:bookmarkEnd w:id="47"/>
      <w:r>
        <w:t>4. Critères d</w:t>
      </w:r>
      <w:r w:rsidR="00A35C4D">
        <w:t>’</w:t>
      </w:r>
      <w:r>
        <w:t>évaluation</w:t>
      </w:r>
      <w:bookmarkEnd w:id="48"/>
    </w:p>
    <w:p w:rsidRPr="00331B95" w:rsidR="00766748" w:rsidP="005C255F" w:rsidRDefault="00331B95" w14:paraId="50737B70" w14:textId="6D4B5AFA">
      <w:pPr>
        <w:pStyle w:val="Heading2"/>
        <w:spacing w:before="240" w:line="240" w:lineRule="auto"/>
        <w:rPr>
          <w:i/>
        </w:rPr>
      </w:pPr>
      <w:bookmarkStart w:name="_1xbg97dpd2g2" w:id="49"/>
      <w:bookmarkStart w:name="_Toc148097452" w:id="50"/>
      <w:bookmarkEnd w:id="49"/>
      <w:r>
        <w:t>4.1 Confidentialité</w:t>
      </w:r>
      <w:bookmarkEnd w:id="50"/>
    </w:p>
    <w:p w:rsidRPr="00AA4FDB" w:rsidR="00766748" w:rsidP="005C255F" w:rsidRDefault="004C5E14" w14:paraId="79536933" w14:textId="54333E2B">
      <w:pPr>
        <w:spacing w:line="240" w:lineRule="auto"/>
      </w:pPr>
      <w:r>
        <w:t>Les informations relatives aux fournisseurs, à leur évaluation et à leurs résultats ne sont pas divulguées aux fournisseurs ou à toute autre personne qui n</w:t>
      </w:r>
      <w:r w:rsidR="00A35C4D">
        <w:t>’</w:t>
      </w:r>
      <w:r>
        <w:t>est pas officiellement concernée par la procédure de présélection jusqu</w:t>
      </w:r>
      <w:r w:rsidR="00A35C4D">
        <w:t>’</w:t>
      </w:r>
      <w:r>
        <w:t xml:space="preserve">à ce que les résultats de la présélection soient notifiés à tous les fournisseurs. </w:t>
      </w:r>
    </w:p>
    <w:p w:rsidRPr="00AA4FDB" w:rsidR="00766748" w:rsidP="005C255F" w:rsidRDefault="00331B95" w14:paraId="0FF7D0DA" w14:textId="678D0BD3">
      <w:pPr>
        <w:pStyle w:val="Heading2"/>
        <w:spacing w:line="240" w:lineRule="auto"/>
        <w:rPr>
          <w:i/>
        </w:rPr>
      </w:pPr>
      <w:bookmarkStart w:name="_rwwm3bqiobmk" w:id="51"/>
      <w:bookmarkStart w:name="_Toc148097453" w:id="52"/>
      <w:bookmarkEnd w:id="51"/>
      <w:r>
        <w:t>4.2 Évaluation technique des demandes</w:t>
      </w:r>
      <w:bookmarkEnd w:id="52"/>
    </w:p>
    <w:p w:rsidRPr="00FC672C" w:rsidR="00766748" w:rsidP="005C255F" w:rsidRDefault="00F63A9A" w14:paraId="3113F078" w14:textId="0D83863A">
      <w:pPr>
        <w:spacing w:line="240" w:lineRule="auto"/>
      </w:pPr>
      <w:r>
        <w:t>Mercy Corps utilisera les critères et exigences définis dans le tableau ci-dessous. Les candidatures seront évaluées séparément pour chaque catégorie de services, ce qui signifie que les entreprises peuvent être préqualifiées pour certaines catégories de services</w:t>
      </w:r>
      <w:r w:rsidR="00A35C4D">
        <w:t>,</w:t>
      </w:r>
      <w:r>
        <w:t xml:space="preserve"> mais pas pour d</w:t>
      </w:r>
      <w:r w:rsidR="00A35C4D">
        <w:t>’</w:t>
      </w:r>
      <w:r>
        <w:t>autres. Mercy Corps se réserve le droit de renoncer à des écarts mineurs de conformité par rapport aux critères de qualification s</w:t>
      </w:r>
      <w:r w:rsidR="00A35C4D">
        <w:t>’</w:t>
      </w:r>
      <w:r>
        <w:t>ils n</w:t>
      </w:r>
      <w:r w:rsidR="00A35C4D">
        <w:t>’</w:t>
      </w:r>
      <w:r>
        <w:t>affectent pas matériellement la capacité technique et les ressources financières d</w:t>
      </w:r>
      <w:r w:rsidR="00A35C4D">
        <w:t>’</w:t>
      </w:r>
      <w:r>
        <w:t>un fournisseur.</w:t>
      </w:r>
    </w:p>
    <w:p w:rsidR="00766748" w:rsidP="005C255F" w:rsidRDefault="639BC145" w14:paraId="357F8EB4" w14:textId="3EAD088E">
      <w:pPr>
        <w:spacing w:line="240" w:lineRule="auto"/>
      </w:pPr>
      <w:r>
        <w:t>La déclaration de qualification doit être conforme aux critères établis dans le présent appel de qualification. Chaque élément de la déclaration de qualification décrite à la section</w:t>
      </w:r>
      <w:r w:rsidR="00A35C4D">
        <w:t> </w:t>
      </w:r>
      <w:r>
        <w:t>3 sera évalué afin de déterminer s</w:t>
      </w:r>
      <w:r w:rsidR="00A35C4D">
        <w:t>’</w:t>
      </w:r>
      <w:r>
        <w:t>il répond aux critères minimaux. Toutes les soumissions qui correspondent ou dépassent les notes minimales de passage indiquées ci-dessous seront ajoutées à la liste des vendeurs présélectionnés. Les éléments de la déclaration de qualification qui ne sont pas conformes aux exigences de l</w:t>
      </w:r>
      <w:r w:rsidR="00A35C4D">
        <w:t>’</w:t>
      </w:r>
      <w:r>
        <w:t>appel à la qualification, telles que, mais sans s</w:t>
      </w:r>
      <w:r w:rsidR="00A35C4D">
        <w:t>’</w:t>
      </w:r>
      <w:r>
        <w:t>y limiter, la qualification minimale, le nombre de pages et le contenu, peuvent être disqualifiés. Le fournisseur doit obtenir la note de passage pour être préqualifié.</w:t>
      </w:r>
    </w:p>
    <w:p w:rsidR="000377D8" w:rsidP="005C255F" w:rsidRDefault="000377D8" w14:paraId="7DD865F9" w14:textId="22FA9334">
      <w:pPr>
        <w:pStyle w:val="Heading2"/>
        <w:spacing w:line="240" w:lineRule="auto"/>
      </w:pPr>
      <w:bookmarkStart w:name="_Toc148097454" w:id="53"/>
      <w:r>
        <w:t>4.3 Diligence raisonnable</w:t>
      </w:r>
      <w:bookmarkEnd w:id="53"/>
    </w:p>
    <w:p w:rsidR="5C8DC3C9" w:rsidP="005C255F" w:rsidRDefault="5C8DC3C9" w14:paraId="216799A4" w14:textId="75D5D920">
      <w:pPr>
        <w:spacing w:line="240" w:lineRule="auto"/>
      </w:pPr>
      <w:r>
        <w:t>Les entreprises qui réussissent l</w:t>
      </w:r>
      <w:r w:rsidR="00A35C4D">
        <w:t>’</w:t>
      </w:r>
      <w:r>
        <w:t>évaluation technique passeront par des étapes de diligence raisonnable comprenant 1) la vérification des références du client et 2) la vérification de l</w:t>
      </w:r>
      <w:r w:rsidR="00A35C4D">
        <w:t>’</w:t>
      </w:r>
      <w:r>
        <w:t>inéligibilité et de la conformité.</w:t>
      </w:r>
    </w:p>
    <w:p w:rsidR="00127143" w:rsidP="005A3A5C" w:rsidRDefault="2D3FE3C2" w14:paraId="1DD45936" w14:textId="1EDCB454">
      <w:pPr>
        <w:spacing w:line="240" w:lineRule="auto"/>
        <w:jc w:val="center"/>
        <w:rPr>
          <w:b/>
          <w:bCs/>
          <w:sz w:val="24"/>
          <w:szCs w:val="24"/>
        </w:rPr>
      </w:pPr>
      <w:r>
        <w:rPr>
          <w:b/>
          <w:sz w:val="24"/>
        </w:rPr>
        <w:t>Critères d</w:t>
      </w:r>
      <w:r w:rsidR="00A35C4D">
        <w:rPr>
          <w:b/>
          <w:sz w:val="24"/>
        </w:rPr>
        <w:t>’</w:t>
      </w:r>
      <w:r>
        <w:rPr>
          <w:b/>
          <w:sz w:val="24"/>
        </w:rPr>
        <w:t>évaluation</w:t>
      </w:r>
    </w:p>
    <w:tbl>
      <w:tblPr>
        <w:tblW w:w="0" w:type="auto"/>
        <w:tblLayout w:type="fixed"/>
        <w:tblLook w:val="06A0" w:firstRow="1" w:lastRow="0" w:firstColumn="1" w:lastColumn="0" w:noHBand="1" w:noVBand="1"/>
      </w:tblPr>
      <w:tblGrid>
        <w:gridCol w:w="1872"/>
        <w:gridCol w:w="1872"/>
        <w:gridCol w:w="1872"/>
        <w:gridCol w:w="1872"/>
        <w:gridCol w:w="1872"/>
      </w:tblGrid>
      <w:tr w:rsidR="11D653CD" w:rsidTr="11D653CD" w14:paraId="07D5CECF" w14:textId="77777777">
        <w:trPr>
          <w:trHeight w:val="570"/>
        </w:trPr>
        <w:tc>
          <w:tcPr>
            <w:tcW w:w="3744" w:type="dxa"/>
            <w:gridSpan w:val="2"/>
            <w:vMerge w:val="restar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54907215" w14:textId="33F4F1F0">
            <w:pPr>
              <w:spacing w:after="0" w:line="240" w:lineRule="auto"/>
              <w:jc w:val="center"/>
              <w:rPr>
                <w:rFonts w:eastAsia="Arial"/>
                <w:b/>
                <w:bCs/>
                <w:color w:val="000000" w:themeColor="text1"/>
              </w:rPr>
            </w:pPr>
            <w:r>
              <w:rPr>
                <w:b/>
                <w:color w:val="000000" w:themeColor="text1"/>
              </w:rPr>
              <w:t>SYSTÈME GÉNÉRAL DE NOTATION</w:t>
            </w:r>
          </w:p>
        </w:tc>
        <w:tc>
          <w:tcPr>
            <w:tcW w:w="1872" w:type="dxa"/>
            <w:tcBorders>
              <w:top w:val="nil"/>
              <w:left w:val="nil"/>
              <w:bottom w:val="nil"/>
              <w:right w:val="nil"/>
            </w:tcBorders>
            <w:tcMar>
              <w:top w:w="15" w:type="dxa"/>
              <w:left w:w="15" w:type="dxa"/>
              <w:right w:w="15" w:type="dxa"/>
            </w:tcMar>
            <w:vAlign w:val="bottom"/>
          </w:tcPr>
          <w:p w:rsidR="11D653CD" w:rsidP="005C255F" w:rsidRDefault="11D653CD" w14:paraId="7A49CD9E" w14:textId="02AD9924">
            <w:pPr>
              <w:spacing w:line="240" w:lineRule="auto"/>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005C255F" w:rsidRDefault="11D653CD" w14:paraId="2070A6EC" w14:textId="0BB592FA">
            <w:pPr>
              <w:spacing w:line="240" w:lineRule="auto"/>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005C255F" w:rsidRDefault="11D653CD" w14:paraId="746D4E3F" w14:textId="7A1337DC">
            <w:pPr>
              <w:spacing w:line="240" w:lineRule="auto"/>
              <w:rPr>
                <w:rFonts w:eastAsia="Arial"/>
              </w:rPr>
            </w:pPr>
          </w:p>
        </w:tc>
      </w:tr>
      <w:tr w:rsidR="11D653CD" w:rsidTr="008046DF" w14:paraId="4BC41319" w14:textId="77777777">
        <w:trPr>
          <w:trHeight w:val="228"/>
        </w:trPr>
        <w:tc>
          <w:tcPr>
            <w:tcW w:w="3744" w:type="dxa"/>
            <w:gridSpan w:val="2"/>
            <w:vMerge/>
            <w:tcBorders>
              <w:left w:val="single" w:color="808080" w:themeColor="background1" w:themeShade="80" w:sz="0" w:space="0"/>
              <w:bottom w:val="single" w:color="808080" w:themeColor="background1" w:themeShade="80" w:sz="0" w:space="0"/>
              <w:right w:val="single" w:color="808080" w:themeColor="background1" w:themeShade="80" w:sz="0" w:space="0"/>
            </w:tcBorders>
            <w:vAlign w:val="center"/>
          </w:tcPr>
          <w:p w:rsidR="00271928" w:rsidP="005C255F" w:rsidRDefault="00271928" w14:paraId="68A2AB36" w14:textId="77777777">
            <w:pPr>
              <w:spacing w:line="240" w:lineRule="auto"/>
            </w:pPr>
          </w:p>
        </w:tc>
        <w:tc>
          <w:tcPr>
            <w:tcW w:w="1872" w:type="dxa"/>
            <w:tcBorders>
              <w:top w:val="nil"/>
              <w:left w:val="nil"/>
              <w:bottom w:val="nil"/>
              <w:right w:val="nil"/>
            </w:tcBorders>
            <w:tcMar>
              <w:top w:w="15" w:type="dxa"/>
              <w:left w:w="15" w:type="dxa"/>
              <w:right w:w="15" w:type="dxa"/>
            </w:tcMar>
            <w:vAlign w:val="bottom"/>
          </w:tcPr>
          <w:p w:rsidR="11D653CD" w:rsidP="005C255F" w:rsidRDefault="11D653CD" w14:paraId="350F3DAC" w14:textId="077031A4">
            <w:pPr>
              <w:spacing w:line="240" w:lineRule="auto"/>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005C255F" w:rsidRDefault="11D653CD" w14:paraId="7D7C8D5C" w14:textId="77289BBC">
            <w:pPr>
              <w:spacing w:line="240" w:lineRule="auto"/>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005C255F" w:rsidRDefault="11D653CD" w14:paraId="37D3D3FB" w14:textId="2266FE51">
            <w:pPr>
              <w:spacing w:line="240" w:lineRule="auto"/>
              <w:rPr>
                <w:rFonts w:eastAsia="Arial"/>
              </w:rPr>
            </w:pPr>
          </w:p>
        </w:tc>
      </w:tr>
      <w:tr w:rsidR="11D653CD" w:rsidTr="11D653CD" w14:paraId="171206B6" w14:textId="77777777">
        <w:trPr>
          <w:trHeight w:val="285"/>
        </w:trPr>
        <w:tc>
          <w:tcPr>
            <w:tcW w:w="1872" w:type="dxa"/>
            <w:tcBorders>
              <w:top w:val="nil"/>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55FA6733" w14:textId="477ADE06">
            <w:pPr>
              <w:spacing w:after="0" w:line="240" w:lineRule="auto"/>
              <w:jc w:val="center"/>
              <w:rPr>
                <w:rFonts w:eastAsia="Arial"/>
                <w:b/>
                <w:bCs/>
                <w:color w:val="000000" w:themeColor="text1"/>
              </w:rPr>
            </w:pPr>
            <w:r>
              <w:rPr>
                <w:b/>
                <w:color w:val="000000" w:themeColor="text1"/>
              </w:rPr>
              <w:t>Point</w:t>
            </w:r>
          </w:p>
        </w:tc>
        <w:tc>
          <w:tcPr>
            <w:tcW w:w="1872" w:type="dxa"/>
            <w:tcBorders>
              <w:top w:val="nil"/>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13EAE0ED" w14:textId="2A9EBB7C">
            <w:pPr>
              <w:spacing w:after="0" w:line="240" w:lineRule="auto"/>
              <w:jc w:val="center"/>
              <w:rPr>
                <w:rFonts w:eastAsia="Arial"/>
                <w:b/>
                <w:bCs/>
                <w:color w:val="000000" w:themeColor="text1"/>
              </w:rPr>
            </w:pPr>
            <w:r>
              <w:rPr>
                <w:b/>
                <w:color w:val="000000" w:themeColor="text1"/>
              </w:rPr>
              <w:t>Description</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6DFBE633" w14:textId="610681EA">
            <w:pPr>
              <w:spacing w:after="0" w:line="240" w:lineRule="auto"/>
              <w:jc w:val="center"/>
              <w:rPr>
                <w:rFonts w:eastAsia="Arial"/>
                <w:b/>
                <w:bCs/>
                <w:color w:val="000000" w:themeColor="text1"/>
              </w:rPr>
            </w:pPr>
            <w:r>
              <w:rPr>
                <w:b/>
                <w:color w:val="000000" w:themeColor="text1"/>
              </w:rPr>
              <w:t>Justification</w:t>
            </w:r>
          </w:p>
        </w:tc>
      </w:tr>
      <w:tr w:rsidR="11D653CD" w:rsidTr="11D653CD" w14:paraId="02B278BD"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216092D7" w14:textId="7C4BBA64">
            <w:pPr>
              <w:spacing w:after="0" w:line="240" w:lineRule="auto"/>
              <w:jc w:val="center"/>
              <w:rPr>
                <w:rFonts w:eastAsia="Arial"/>
                <w:b/>
                <w:bCs/>
                <w:color w:val="000000" w:themeColor="text1"/>
              </w:rPr>
            </w:pPr>
            <w:r>
              <w:rPr>
                <w:b/>
                <w:color w:val="000000" w:themeColor="text1"/>
              </w:rPr>
              <w:t>1</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2FE87B31" w14:textId="50876668">
            <w:pPr>
              <w:spacing w:after="0" w:line="240" w:lineRule="auto"/>
              <w:jc w:val="center"/>
              <w:rPr>
                <w:rFonts w:eastAsia="Arial"/>
                <w:color w:val="000000" w:themeColor="text1"/>
              </w:rPr>
            </w:pPr>
            <w:r>
              <w:rPr>
                <w:color w:val="000000" w:themeColor="text1"/>
              </w:rPr>
              <w:t>Très faible</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3CD717BB" w14:textId="6265F0D0">
            <w:pPr>
              <w:spacing w:after="0" w:line="240" w:lineRule="auto"/>
              <w:jc w:val="left"/>
              <w:rPr>
                <w:rFonts w:eastAsia="Arial"/>
                <w:color w:val="000000" w:themeColor="text1"/>
              </w:rPr>
            </w:pPr>
            <w:r>
              <w:rPr>
                <w:color w:val="000000" w:themeColor="text1"/>
              </w:rPr>
              <w:t>N</w:t>
            </w:r>
            <w:r w:rsidR="00A35C4D">
              <w:rPr>
                <w:color w:val="000000" w:themeColor="text1"/>
              </w:rPr>
              <w:t>’</w:t>
            </w:r>
            <w:r>
              <w:rPr>
                <w:color w:val="000000" w:themeColor="text1"/>
              </w:rPr>
              <w:t>a satisfait à aucun des critères/exigences spécifiés</w:t>
            </w:r>
          </w:p>
        </w:tc>
      </w:tr>
      <w:tr w:rsidR="11D653CD" w:rsidTr="11D653CD" w14:paraId="3B06735D"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663C4262" w14:textId="7A854351">
            <w:pPr>
              <w:spacing w:after="0" w:line="240" w:lineRule="auto"/>
              <w:jc w:val="center"/>
              <w:rPr>
                <w:rFonts w:eastAsia="Arial"/>
                <w:b/>
                <w:bCs/>
                <w:color w:val="000000" w:themeColor="text1"/>
              </w:rPr>
            </w:pPr>
            <w:r>
              <w:rPr>
                <w:b/>
                <w:color w:val="000000" w:themeColor="text1"/>
              </w:rPr>
              <w:t>2</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0DD4D5D0" w14:textId="46B972B4">
            <w:pPr>
              <w:spacing w:after="0" w:line="240" w:lineRule="auto"/>
              <w:jc w:val="center"/>
              <w:rPr>
                <w:rFonts w:eastAsia="Arial"/>
                <w:color w:val="000000" w:themeColor="text1"/>
              </w:rPr>
            </w:pPr>
            <w:r>
              <w:rPr>
                <w:color w:val="000000" w:themeColor="text1"/>
              </w:rPr>
              <w:t>Faible</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73578EED" w14:textId="2D9650C7">
            <w:pPr>
              <w:spacing w:after="0" w:line="240" w:lineRule="auto"/>
              <w:jc w:val="left"/>
              <w:rPr>
                <w:rFonts w:eastAsia="Arial"/>
                <w:color w:val="000000" w:themeColor="text1"/>
              </w:rPr>
            </w:pPr>
            <w:r>
              <w:rPr>
                <w:color w:val="000000" w:themeColor="text1"/>
              </w:rPr>
              <w:t>A satisfait à quelques aspects des critères spécifiés</w:t>
            </w:r>
          </w:p>
        </w:tc>
      </w:tr>
      <w:tr w:rsidR="11D653CD" w:rsidTr="11D653CD" w14:paraId="42F810F7"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1DE7C75C" w14:textId="6D99AB5A">
            <w:pPr>
              <w:spacing w:after="0" w:line="240" w:lineRule="auto"/>
              <w:jc w:val="center"/>
              <w:rPr>
                <w:rFonts w:eastAsia="Arial"/>
                <w:b/>
                <w:bCs/>
                <w:color w:val="000000" w:themeColor="text1"/>
              </w:rPr>
            </w:pPr>
            <w:r>
              <w:rPr>
                <w:b/>
                <w:color w:val="000000" w:themeColor="text1"/>
              </w:rPr>
              <w:t>3</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13FE6EA6" w14:textId="0B7B2BC2">
            <w:pPr>
              <w:spacing w:after="0" w:line="240" w:lineRule="auto"/>
              <w:jc w:val="center"/>
              <w:rPr>
                <w:rFonts w:eastAsia="Arial"/>
                <w:color w:val="000000" w:themeColor="text1"/>
              </w:rPr>
            </w:pPr>
            <w:r>
              <w:rPr>
                <w:color w:val="000000" w:themeColor="text1"/>
              </w:rPr>
              <w:t>Suffisant</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3B515FB5" w14:textId="7BD43E2A">
            <w:pPr>
              <w:spacing w:after="0" w:line="240" w:lineRule="auto"/>
              <w:jc w:val="left"/>
              <w:rPr>
                <w:rFonts w:eastAsia="Arial"/>
                <w:color w:val="000000" w:themeColor="text1"/>
              </w:rPr>
            </w:pPr>
            <w:r>
              <w:rPr>
                <w:color w:val="000000" w:themeColor="text1"/>
              </w:rPr>
              <w:t>Acceptable</w:t>
            </w:r>
            <w:r w:rsidR="00A35C4D">
              <w:rPr>
                <w:color w:val="000000" w:themeColor="text1"/>
              </w:rPr>
              <w:t> </w:t>
            </w:r>
            <w:r>
              <w:rPr>
                <w:color w:val="000000" w:themeColor="text1"/>
              </w:rPr>
              <w:t>; répond à certaines des exigences énoncées</w:t>
            </w:r>
          </w:p>
        </w:tc>
      </w:tr>
      <w:tr w:rsidR="11D653CD" w:rsidTr="11D653CD" w14:paraId="7E604C0F"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05A4A012" w14:textId="53BD196F">
            <w:pPr>
              <w:spacing w:after="0" w:line="240" w:lineRule="auto"/>
              <w:jc w:val="center"/>
              <w:rPr>
                <w:rFonts w:eastAsia="Arial"/>
                <w:b/>
                <w:bCs/>
                <w:color w:val="000000" w:themeColor="text1"/>
              </w:rPr>
            </w:pPr>
            <w:r>
              <w:rPr>
                <w:b/>
                <w:color w:val="000000" w:themeColor="text1"/>
              </w:rPr>
              <w:t>4</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6BD3A063" w14:textId="3DDC88AE">
            <w:pPr>
              <w:spacing w:after="0" w:line="240" w:lineRule="auto"/>
              <w:jc w:val="center"/>
              <w:rPr>
                <w:rFonts w:eastAsia="Arial"/>
                <w:color w:val="000000" w:themeColor="text1"/>
              </w:rPr>
            </w:pPr>
            <w:r>
              <w:rPr>
                <w:color w:val="000000" w:themeColor="text1"/>
              </w:rPr>
              <w:t>Bon</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291B09AA" w14:textId="733BB1AA">
            <w:pPr>
              <w:spacing w:after="0" w:line="240" w:lineRule="auto"/>
              <w:jc w:val="left"/>
              <w:rPr>
                <w:rFonts w:eastAsia="Arial"/>
                <w:color w:val="000000" w:themeColor="text1"/>
              </w:rPr>
            </w:pPr>
            <w:r>
              <w:rPr>
                <w:color w:val="000000" w:themeColor="text1"/>
              </w:rPr>
              <w:t>Répond à toutes les exigences</w:t>
            </w:r>
            <w:r w:rsidR="00A35C4D">
              <w:rPr>
                <w:color w:val="000000" w:themeColor="text1"/>
              </w:rPr>
              <w:t>,</w:t>
            </w:r>
            <w:r>
              <w:rPr>
                <w:color w:val="000000" w:themeColor="text1"/>
              </w:rPr>
              <w:t xml:space="preserve"> mais peut être amélioré</w:t>
            </w:r>
          </w:p>
        </w:tc>
      </w:tr>
      <w:tr w:rsidR="11D653CD" w:rsidTr="11D653CD" w14:paraId="2E9F5524"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66BED243" w14:textId="590E95D6">
            <w:pPr>
              <w:spacing w:after="0" w:line="240" w:lineRule="auto"/>
              <w:jc w:val="center"/>
              <w:rPr>
                <w:rFonts w:eastAsia="Arial"/>
                <w:b/>
                <w:bCs/>
                <w:color w:val="000000" w:themeColor="text1"/>
              </w:rPr>
            </w:pPr>
            <w:r>
              <w:rPr>
                <w:b/>
                <w:color w:val="000000" w:themeColor="text1"/>
              </w:rPr>
              <w:t>5</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023C3600" w14:textId="5B71D40F">
            <w:pPr>
              <w:spacing w:after="0" w:line="240" w:lineRule="auto"/>
              <w:jc w:val="center"/>
              <w:rPr>
                <w:rFonts w:eastAsia="Arial"/>
                <w:color w:val="000000" w:themeColor="text1"/>
              </w:rPr>
            </w:pPr>
            <w:r>
              <w:rPr>
                <w:color w:val="000000" w:themeColor="text1"/>
              </w:rPr>
              <w:t>Excellent</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005C255F" w:rsidRDefault="11D653CD" w14:paraId="46FCA1FA" w14:textId="1861D2F6">
            <w:pPr>
              <w:spacing w:after="0" w:line="240" w:lineRule="auto"/>
              <w:jc w:val="left"/>
              <w:rPr>
                <w:rFonts w:eastAsia="Arial"/>
                <w:color w:val="000000" w:themeColor="text1"/>
              </w:rPr>
            </w:pPr>
            <w:r>
              <w:rPr>
                <w:color w:val="000000" w:themeColor="text1"/>
              </w:rPr>
              <w:t>Dépasse toutes les exigences et ne laisse que peu ou pas de place à l</w:t>
            </w:r>
            <w:r w:rsidR="00A35C4D">
              <w:rPr>
                <w:color w:val="000000" w:themeColor="text1"/>
              </w:rPr>
              <w:t>’</w:t>
            </w:r>
            <w:r>
              <w:rPr>
                <w:color w:val="000000" w:themeColor="text1"/>
              </w:rPr>
              <w:t>amélioration</w:t>
            </w:r>
          </w:p>
        </w:tc>
      </w:tr>
    </w:tbl>
    <w:p w:rsidR="003F5030" w:rsidP="005C255F" w:rsidRDefault="003F5030" w14:paraId="5881C035" w14:textId="77777777">
      <w:pPr>
        <w:spacing w:line="240" w:lineRule="auto"/>
        <w:rPr>
          <w:b/>
          <w:bCs/>
          <w:sz w:val="24"/>
          <w:szCs w:val="24"/>
        </w:rPr>
      </w:pPr>
    </w:p>
    <w:p w:rsidR="00127143" w:rsidP="005C255F" w:rsidRDefault="00127143" w14:paraId="70209BDF" w14:textId="77777777">
      <w:pPr>
        <w:spacing w:line="240" w:lineRule="auto"/>
        <w:rPr>
          <w:b/>
          <w:bCs/>
          <w:sz w:val="24"/>
          <w:szCs w:val="24"/>
        </w:rPr>
      </w:pPr>
    </w:p>
    <w:tbl>
      <w:tblPr>
        <w:tblStyle w:val="TableGrid"/>
        <w:tblW w:w="11363" w:type="dxa"/>
        <w:tblInd w:w="-882" w:type="dxa"/>
        <w:tblLook w:val="04A0" w:firstRow="1" w:lastRow="0" w:firstColumn="1" w:lastColumn="0" w:noHBand="0" w:noVBand="1"/>
      </w:tblPr>
      <w:tblGrid>
        <w:gridCol w:w="571"/>
        <w:gridCol w:w="2004"/>
        <w:gridCol w:w="1813"/>
        <w:gridCol w:w="4740"/>
        <w:gridCol w:w="1379"/>
        <w:gridCol w:w="856"/>
      </w:tblGrid>
      <w:tr w:rsidR="00997EB7" w:rsidTr="005A3A5C" w14:paraId="38D5AC4A" w14:textId="77777777">
        <w:tc>
          <w:tcPr>
            <w:tcW w:w="571" w:type="dxa"/>
            <w:shd w:val="clear" w:color="auto" w:fill="DBE5F1" w:themeFill="accent1" w:themeFillTint="33"/>
            <w:vAlign w:val="center"/>
          </w:tcPr>
          <w:p w:rsidRPr="00F56D18" w:rsidR="00997EB7" w:rsidP="005C255F" w:rsidRDefault="4333B1D2" w14:paraId="7FB29298" w14:textId="23EB3A80">
            <w:pPr>
              <w:jc w:val="center"/>
              <w:rPr>
                <w:b/>
                <w:bCs/>
              </w:rPr>
            </w:pPr>
            <w:r>
              <w:rPr>
                <w:b/>
              </w:rPr>
              <w:t>#</w:t>
            </w:r>
          </w:p>
        </w:tc>
        <w:tc>
          <w:tcPr>
            <w:tcW w:w="2004" w:type="dxa"/>
            <w:shd w:val="clear" w:color="auto" w:fill="DBE5F1" w:themeFill="accent1" w:themeFillTint="33"/>
            <w:vAlign w:val="center"/>
          </w:tcPr>
          <w:p w:rsidRPr="00F56D18" w:rsidR="00997EB7" w:rsidP="005C255F" w:rsidRDefault="00997EB7" w14:paraId="00AEC789" w14:textId="3F762561">
            <w:pPr>
              <w:jc w:val="center"/>
              <w:rPr>
                <w:b/>
                <w:bCs/>
              </w:rPr>
            </w:pPr>
            <w:r>
              <w:rPr>
                <w:b/>
              </w:rPr>
              <w:t>Critères</w:t>
            </w:r>
          </w:p>
        </w:tc>
        <w:tc>
          <w:tcPr>
            <w:tcW w:w="1813" w:type="dxa"/>
            <w:shd w:val="clear" w:color="auto" w:fill="DBE5F1" w:themeFill="accent1" w:themeFillTint="33"/>
            <w:vAlign w:val="center"/>
          </w:tcPr>
          <w:p w:rsidRPr="00F56D18" w:rsidR="00997EB7" w:rsidP="005C255F" w:rsidRDefault="00997EB7" w14:paraId="4C2995FB" w14:textId="2B1B98CB">
            <w:pPr>
              <w:jc w:val="center"/>
              <w:rPr>
                <w:b/>
                <w:bCs/>
              </w:rPr>
            </w:pPr>
            <w:r>
              <w:rPr>
                <w:b/>
              </w:rPr>
              <w:t>Moyens de vérification</w:t>
            </w:r>
          </w:p>
        </w:tc>
        <w:tc>
          <w:tcPr>
            <w:tcW w:w="4740" w:type="dxa"/>
            <w:shd w:val="clear" w:color="auto" w:fill="DBE5F1" w:themeFill="accent1" w:themeFillTint="33"/>
            <w:vAlign w:val="center"/>
          </w:tcPr>
          <w:p w:rsidRPr="00F56D18" w:rsidR="00997EB7" w:rsidP="005C255F" w:rsidRDefault="00997EB7" w14:paraId="726B9566" w14:textId="7BE6EB06">
            <w:pPr>
              <w:jc w:val="center"/>
              <w:rPr>
                <w:b/>
                <w:bCs/>
              </w:rPr>
            </w:pPr>
            <w:r>
              <w:rPr>
                <w:b/>
              </w:rPr>
              <w:t>Définition</w:t>
            </w:r>
            <w:r w:rsidR="00A35C4D">
              <w:rPr>
                <w:b/>
              </w:rPr>
              <w:t>/</w:t>
            </w:r>
            <w:r>
              <w:rPr>
                <w:b/>
              </w:rPr>
              <w:t>Exigence</w:t>
            </w:r>
          </w:p>
        </w:tc>
        <w:tc>
          <w:tcPr>
            <w:tcW w:w="1379" w:type="dxa"/>
            <w:shd w:val="clear" w:color="auto" w:fill="DBE5F1" w:themeFill="accent1" w:themeFillTint="33"/>
            <w:vAlign w:val="center"/>
          </w:tcPr>
          <w:p w:rsidRPr="00F56D18" w:rsidR="00997EB7" w:rsidP="005C255F" w:rsidRDefault="419658FF" w14:paraId="244F5FD8" w14:textId="3A289D53">
            <w:pPr>
              <w:jc w:val="center"/>
              <w:rPr>
                <w:b/>
                <w:bCs/>
              </w:rPr>
            </w:pPr>
            <w:r>
              <w:rPr>
                <w:b/>
              </w:rPr>
              <w:t>Score min. requis</w:t>
            </w:r>
          </w:p>
        </w:tc>
        <w:tc>
          <w:tcPr>
            <w:tcW w:w="856" w:type="dxa"/>
            <w:shd w:val="clear" w:color="auto" w:fill="DBE5F1" w:themeFill="accent1" w:themeFillTint="33"/>
            <w:vAlign w:val="center"/>
          </w:tcPr>
          <w:p w:rsidRPr="00F56D18" w:rsidR="00997EB7" w:rsidP="005C255F" w:rsidRDefault="00997EB7" w14:paraId="141CA9A1" w14:textId="522C2820">
            <w:pPr>
              <w:jc w:val="center"/>
              <w:rPr>
                <w:b/>
                <w:bCs/>
              </w:rPr>
            </w:pPr>
            <w:r>
              <w:rPr>
                <w:b/>
              </w:rPr>
              <w:t>Poids</w:t>
            </w:r>
          </w:p>
        </w:tc>
      </w:tr>
      <w:tr w:rsidR="00997EB7" w:rsidTr="005A3A5C" w14:paraId="35997EA1" w14:textId="77777777">
        <w:tc>
          <w:tcPr>
            <w:tcW w:w="571" w:type="dxa"/>
            <w:shd w:val="clear" w:color="auto" w:fill="DBE5F1" w:themeFill="accent1" w:themeFillTint="33"/>
            <w:vAlign w:val="center"/>
          </w:tcPr>
          <w:p w:rsidRPr="00F56D18" w:rsidR="00997EB7" w:rsidP="005C255F" w:rsidRDefault="00997EB7" w14:paraId="783F781C" w14:textId="33CFF7FB">
            <w:pPr>
              <w:jc w:val="center"/>
              <w:rPr>
                <w:b/>
                <w:bCs/>
              </w:rPr>
            </w:pPr>
            <w:r>
              <w:rPr>
                <w:b/>
              </w:rPr>
              <w:t>1</w:t>
            </w:r>
          </w:p>
        </w:tc>
        <w:tc>
          <w:tcPr>
            <w:tcW w:w="2004" w:type="dxa"/>
            <w:shd w:val="clear" w:color="auto" w:fill="DBE5F1" w:themeFill="accent1" w:themeFillTint="33"/>
          </w:tcPr>
          <w:p w:rsidRPr="00F56D18" w:rsidR="00997EB7" w:rsidP="005C255F" w:rsidRDefault="00997EB7" w14:paraId="35EFB339" w14:textId="64D34634">
            <w:pPr>
              <w:jc w:val="left"/>
              <w:rPr>
                <w:b/>
                <w:bCs/>
              </w:rPr>
            </w:pPr>
            <w:r>
              <w:rPr>
                <w:b/>
              </w:rPr>
              <w:t>Capacité de l</w:t>
            </w:r>
            <w:r w:rsidR="00A35C4D">
              <w:rPr>
                <w:b/>
              </w:rPr>
              <w:t>’</w:t>
            </w:r>
            <w:r>
              <w:rPr>
                <w:b/>
              </w:rPr>
              <w:t>entreprise</w:t>
            </w:r>
          </w:p>
        </w:tc>
        <w:tc>
          <w:tcPr>
            <w:tcW w:w="1813" w:type="dxa"/>
            <w:shd w:val="clear" w:color="auto" w:fill="DBE5F1" w:themeFill="accent1" w:themeFillTint="33"/>
          </w:tcPr>
          <w:p w:rsidR="00997EB7" w:rsidP="005C255F" w:rsidRDefault="00997EB7" w14:paraId="47BB5EA9" w14:textId="0E1AEF7E">
            <w:r>
              <w:t>Lettre de motivation</w:t>
            </w:r>
          </w:p>
        </w:tc>
        <w:tc>
          <w:tcPr>
            <w:tcW w:w="4740" w:type="dxa"/>
            <w:shd w:val="clear" w:color="auto" w:fill="DBE5F1" w:themeFill="accent1" w:themeFillTint="33"/>
          </w:tcPr>
          <w:p w:rsidR="00997EB7" w:rsidP="005C255F" w:rsidRDefault="00997EB7" w14:paraId="7A2B41C6" w14:textId="64840AE8">
            <w:r>
              <w:t>Les domaines généraux d</w:t>
            </w:r>
            <w:r w:rsidR="00A35C4D">
              <w:t>’</w:t>
            </w:r>
            <w:r>
              <w:t>intérêt et d</w:t>
            </w:r>
            <w:r w:rsidR="00A35C4D">
              <w:t>’</w:t>
            </w:r>
            <w:r>
              <w:t>expertise de l</w:t>
            </w:r>
            <w:r w:rsidR="00A35C4D">
              <w:t>’</w:t>
            </w:r>
            <w:r>
              <w:t>entreprise correspondent à un ou plusieurs des services recherchés dans le cadre de cet RQF</w:t>
            </w:r>
            <w:r w:rsidR="00A35C4D">
              <w:t> </w:t>
            </w:r>
            <w:r>
              <w:t>; l</w:t>
            </w:r>
            <w:r w:rsidR="00A35C4D">
              <w:t>’</w:t>
            </w:r>
            <w:r>
              <w:t>entreprise a une expérience de travail dans des contextes humanitaires ou de développement et fait part de sa familiarité et de son expérience avec les services décrits dans le RQF</w:t>
            </w:r>
            <w:r w:rsidR="00A35C4D">
              <w:t> </w:t>
            </w:r>
            <w:r>
              <w:t>; l</w:t>
            </w:r>
            <w:r w:rsidR="00A35C4D">
              <w:t>’</w:t>
            </w:r>
            <w:r>
              <w:t>entreprise a une expérience dans deux pays ou plus dans lesquels Mercy Corps opère.</w:t>
            </w:r>
          </w:p>
        </w:tc>
        <w:tc>
          <w:tcPr>
            <w:tcW w:w="1379" w:type="dxa"/>
            <w:shd w:val="clear" w:color="auto" w:fill="DBE5F1" w:themeFill="accent1" w:themeFillTint="33"/>
            <w:vAlign w:val="center"/>
          </w:tcPr>
          <w:p w:rsidR="00997EB7" w:rsidP="005C255F" w:rsidRDefault="652E6087" w14:paraId="68873499" w14:textId="38A350AE">
            <w:pPr>
              <w:jc w:val="center"/>
            </w:pPr>
            <w:r>
              <w:t>s</w:t>
            </w:r>
            <w:r w:rsidR="00A35C4D">
              <w:t>/</w:t>
            </w:r>
            <w:r>
              <w:t>o</w:t>
            </w:r>
          </w:p>
        </w:tc>
        <w:tc>
          <w:tcPr>
            <w:tcW w:w="856" w:type="dxa"/>
            <w:shd w:val="clear" w:color="auto" w:fill="DBE5F1" w:themeFill="accent1" w:themeFillTint="33"/>
            <w:vAlign w:val="center"/>
          </w:tcPr>
          <w:p w:rsidR="00997EB7" w:rsidP="005C255F" w:rsidRDefault="48DCF2EF" w14:paraId="25F9D289" w14:textId="6C5AFA5A">
            <w:pPr>
              <w:jc w:val="center"/>
            </w:pPr>
            <w:r>
              <w:t>10</w:t>
            </w:r>
            <w:r w:rsidR="00A35C4D">
              <w:t> </w:t>
            </w:r>
            <w:r>
              <w:t>%</w:t>
            </w:r>
          </w:p>
        </w:tc>
      </w:tr>
      <w:tr w:rsidR="00997EB7" w:rsidTr="005A3A5C" w14:paraId="143E05F8" w14:textId="77777777">
        <w:tc>
          <w:tcPr>
            <w:tcW w:w="571" w:type="dxa"/>
            <w:shd w:val="clear" w:color="auto" w:fill="DBE5F1" w:themeFill="accent1" w:themeFillTint="33"/>
            <w:vAlign w:val="center"/>
          </w:tcPr>
          <w:p w:rsidRPr="00F56D18" w:rsidR="00997EB7" w:rsidP="005C255F" w:rsidRDefault="00997EB7" w14:paraId="5C9BBC5B" w14:textId="4C692822">
            <w:pPr>
              <w:jc w:val="center"/>
              <w:rPr>
                <w:b/>
                <w:bCs/>
              </w:rPr>
            </w:pPr>
            <w:r>
              <w:rPr>
                <w:b/>
              </w:rPr>
              <w:t>2</w:t>
            </w:r>
          </w:p>
        </w:tc>
        <w:tc>
          <w:tcPr>
            <w:tcW w:w="2004" w:type="dxa"/>
            <w:shd w:val="clear" w:color="auto" w:fill="DBE5F1" w:themeFill="accent1" w:themeFillTint="33"/>
          </w:tcPr>
          <w:p w:rsidRPr="00F56D18" w:rsidR="00997EB7" w:rsidP="005C255F" w:rsidRDefault="00997EB7" w14:paraId="5D95CF0A" w14:textId="00DA5682">
            <w:pPr>
              <w:jc w:val="left"/>
              <w:rPr>
                <w:b/>
                <w:bCs/>
              </w:rPr>
            </w:pPr>
            <w:r>
              <w:rPr>
                <w:b/>
              </w:rPr>
              <w:t>Compétences techniques</w:t>
            </w:r>
          </w:p>
        </w:tc>
        <w:tc>
          <w:tcPr>
            <w:tcW w:w="1813" w:type="dxa"/>
            <w:shd w:val="clear" w:color="auto" w:fill="DBE5F1" w:themeFill="accent1" w:themeFillTint="33"/>
          </w:tcPr>
          <w:p w:rsidR="00997EB7" w:rsidP="005C255F" w:rsidRDefault="00997EB7" w14:paraId="5734A69F" w14:textId="4A60D816">
            <w:r>
              <w:t>Proposition technique</w:t>
            </w:r>
          </w:p>
        </w:tc>
        <w:tc>
          <w:tcPr>
            <w:tcW w:w="4740" w:type="dxa"/>
            <w:shd w:val="clear" w:color="auto" w:fill="DBE5F1" w:themeFill="accent1" w:themeFillTint="33"/>
          </w:tcPr>
          <w:p w:rsidR="00997EB7" w:rsidP="005C255F" w:rsidRDefault="00A07173" w14:paraId="19E9027F" w14:textId="40A7CD5F">
            <w:r>
              <w:t>La proposition technique de l</w:t>
            </w:r>
            <w:r w:rsidR="00A35C4D">
              <w:t>’</w:t>
            </w:r>
            <w:r>
              <w:t>entreprise est claire, détaillée, logique et adaptée à l</w:t>
            </w:r>
            <w:r w:rsidR="00A35C4D">
              <w:t>’</w:t>
            </w:r>
            <w:r>
              <w:t>étendue des travaux. L</w:t>
            </w:r>
            <w:r w:rsidR="00A35C4D">
              <w:t>’</w:t>
            </w:r>
            <w:r>
              <w:t>entreprise fait preuve de compétences techniques dans la catégorie de services et est bien équipée pour fournir un soutien à une équipe de Mercy Corps avec peu ou pas de conseils de la part des équipes de Mercy Corps.</w:t>
            </w:r>
          </w:p>
        </w:tc>
        <w:tc>
          <w:tcPr>
            <w:tcW w:w="1379" w:type="dxa"/>
            <w:shd w:val="clear" w:color="auto" w:fill="DBE5F1" w:themeFill="accent1" w:themeFillTint="33"/>
            <w:vAlign w:val="center"/>
          </w:tcPr>
          <w:p w:rsidR="00997EB7" w:rsidP="005C255F" w:rsidRDefault="42BE4510" w14:paraId="1B1188B9" w14:textId="1083187B">
            <w:pPr>
              <w:jc w:val="center"/>
            </w:pPr>
            <w:r>
              <w:t>2/ 5</w:t>
            </w:r>
          </w:p>
        </w:tc>
        <w:tc>
          <w:tcPr>
            <w:tcW w:w="856" w:type="dxa"/>
            <w:shd w:val="clear" w:color="auto" w:fill="DBE5F1" w:themeFill="accent1" w:themeFillTint="33"/>
            <w:vAlign w:val="center"/>
          </w:tcPr>
          <w:p w:rsidR="00997EB7" w:rsidP="005C255F" w:rsidRDefault="48DCF2EF" w14:paraId="0AB6D8BC" w14:textId="007E8BAF">
            <w:pPr>
              <w:jc w:val="center"/>
            </w:pPr>
            <w:r>
              <w:t>25</w:t>
            </w:r>
            <w:r w:rsidR="00A35C4D">
              <w:t> </w:t>
            </w:r>
            <w:r>
              <w:t>%</w:t>
            </w:r>
          </w:p>
        </w:tc>
      </w:tr>
      <w:tr w:rsidR="00997EB7" w:rsidTr="005A3A5C" w14:paraId="6AEB5471" w14:textId="77777777">
        <w:tc>
          <w:tcPr>
            <w:tcW w:w="571" w:type="dxa"/>
            <w:shd w:val="clear" w:color="auto" w:fill="DBE5F1" w:themeFill="accent1" w:themeFillTint="33"/>
            <w:vAlign w:val="center"/>
          </w:tcPr>
          <w:p w:rsidRPr="00F56D18" w:rsidR="00997EB7" w:rsidP="005C255F" w:rsidRDefault="00997EB7" w14:paraId="2A77C87F" w14:textId="793572EB">
            <w:pPr>
              <w:jc w:val="center"/>
              <w:rPr>
                <w:b/>
                <w:bCs/>
              </w:rPr>
            </w:pPr>
            <w:r>
              <w:rPr>
                <w:b/>
              </w:rPr>
              <w:t>3</w:t>
            </w:r>
          </w:p>
        </w:tc>
        <w:tc>
          <w:tcPr>
            <w:tcW w:w="2004" w:type="dxa"/>
            <w:shd w:val="clear" w:color="auto" w:fill="DBE5F1" w:themeFill="accent1" w:themeFillTint="33"/>
          </w:tcPr>
          <w:p w:rsidRPr="00F56D18" w:rsidR="00997EB7" w:rsidP="005C255F" w:rsidRDefault="4B8ECE51" w14:paraId="50537BF7" w14:textId="40378A2F">
            <w:pPr>
              <w:jc w:val="left"/>
              <w:rPr>
                <w:b/>
                <w:bCs/>
              </w:rPr>
            </w:pPr>
            <w:r>
              <w:rPr>
                <w:b/>
              </w:rPr>
              <w:t>Personnel</w:t>
            </w:r>
          </w:p>
        </w:tc>
        <w:tc>
          <w:tcPr>
            <w:tcW w:w="1813" w:type="dxa"/>
            <w:shd w:val="clear" w:color="auto" w:fill="DBE5F1" w:themeFill="accent1" w:themeFillTint="33"/>
          </w:tcPr>
          <w:p w:rsidR="00997EB7" w:rsidP="005C255F" w:rsidRDefault="00997EB7" w14:paraId="2DC785AD" w14:textId="00E4E0AF">
            <w:r>
              <w:t>CV du personnel</w:t>
            </w:r>
          </w:p>
        </w:tc>
        <w:tc>
          <w:tcPr>
            <w:tcW w:w="4740" w:type="dxa"/>
            <w:shd w:val="clear" w:color="auto" w:fill="DBE5F1" w:themeFill="accent1" w:themeFillTint="33"/>
          </w:tcPr>
          <w:p w:rsidR="00997EB7" w:rsidP="005C255F" w:rsidRDefault="005A762E" w14:paraId="5A601A9C" w14:textId="0C530A2A">
            <w:r>
              <w:t>L</w:t>
            </w:r>
            <w:r w:rsidR="00A35C4D">
              <w:t>’</w:t>
            </w:r>
            <w:r>
              <w:t>entreprise dispose d</w:t>
            </w:r>
            <w:r w:rsidR="00A35C4D">
              <w:t>’</w:t>
            </w:r>
            <w:r>
              <w:t>un personnel actuel, déployable ou local bien adapté à l</w:t>
            </w:r>
            <w:r w:rsidR="00A35C4D">
              <w:t>’</w:t>
            </w:r>
            <w:r>
              <w:t>étendue du travail simulé</w:t>
            </w:r>
            <w:r w:rsidR="00A35C4D">
              <w:t> </w:t>
            </w:r>
            <w:r>
              <w:t>; les CV démontrent un niveau approprié d</w:t>
            </w:r>
            <w:r w:rsidR="00A35C4D">
              <w:t>’</w:t>
            </w:r>
            <w:r>
              <w:t>expérience pertinente pour l</w:t>
            </w:r>
            <w:r w:rsidR="00A35C4D">
              <w:t>’</w:t>
            </w:r>
            <w:r>
              <w:t>étendue du travail fourni</w:t>
            </w:r>
            <w:r w:rsidR="00A35C4D">
              <w:t> </w:t>
            </w:r>
            <w:r>
              <w:t>; le personnel possède les compétences linguistiques et techniques appropriées telles que définies dans le cahier des charges ainsi qu</w:t>
            </w:r>
            <w:r w:rsidR="00A35C4D">
              <w:t>’</w:t>
            </w:r>
            <w:r>
              <w:t>une expérience de travail dans un ou plusieurs pays de Mercy Corps.</w:t>
            </w:r>
          </w:p>
        </w:tc>
        <w:tc>
          <w:tcPr>
            <w:tcW w:w="1379" w:type="dxa"/>
            <w:shd w:val="clear" w:color="auto" w:fill="DBE5F1" w:themeFill="accent1" w:themeFillTint="33"/>
            <w:vAlign w:val="center"/>
          </w:tcPr>
          <w:p w:rsidR="00997EB7" w:rsidP="005C255F" w:rsidRDefault="2DAD5FD9" w14:paraId="33E9A791" w14:textId="6BDC8F12">
            <w:pPr>
              <w:jc w:val="center"/>
            </w:pPr>
            <w:r>
              <w:t>2/ 5</w:t>
            </w:r>
          </w:p>
        </w:tc>
        <w:tc>
          <w:tcPr>
            <w:tcW w:w="856" w:type="dxa"/>
            <w:shd w:val="clear" w:color="auto" w:fill="DBE5F1" w:themeFill="accent1" w:themeFillTint="33"/>
            <w:vAlign w:val="center"/>
          </w:tcPr>
          <w:p w:rsidR="00997EB7" w:rsidP="005C255F" w:rsidRDefault="48DCF2EF" w14:paraId="25CE37CD" w14:textId="68B9A839">
            <w:pPr>
              <w:jc w:val="center"/>
            </w:pPr>
            <w:r>
              <w:t>15</w:t>
            </w:r>
            <w:r w:rsidR="00A35C4D">
              <w:t> </w:t>
            </w:r>
            <w:r>
              <w:t>%</w:t>
            </w:r>
          </w:p>
        </w:tc>
      </w:tr>
      <w:tr w:rsidR="00997EB7" w:rsidTr="005A3A5C" w14:paraId="2D4AF4B4" w14:textId="77777777">
        <w:tc>
          <w:tcPr>
            <w:tcW w:w="571" w:type="dxa"/>
            <w:shd w:val="clear" w:color="auto" w:fill="DBE5F1" w:themeFill="accent1" w:themeFillTint="33"/>
            <w:vAlign w:val="center"/>
          </w:tcPr>
          <w:p w:rsidRPr="00F56D18" w:rsidR="00997EB7" w:rsidP="005C255F" w:rsidRDefault="00997EB7" w14:paraId="61135E32" w14:textId="1286A805">
            <w:pPr>
              <w:jc w:val="center"/>
              <w:rPr>
                <w:b/>
                <w:bCs/>
              </w:rPr>
            </w:pPr>
            <w:r>
              <w:rPr>
                <w:b/>
              </w:rPr>
              <w:t>4</w:t>
            </w:r>
          </w:p>
        </w:tc>
        <w:tc>
          <w:tcPr>
            <w:tcW w:w="2004" w:type="dxa"/>
            <w:shd w:val="clear" w:color="auto" w:fill="DBE5F1" w:themeFill="accent1" w:themeFillTint="33"/>
          </w:tcPr>
          <w:p w:rsidRPr="00F56D18" w:rsidR="00997EB7" w:rsidP="005C255F" w:rsidRDefault="00997EB7" w14:paraId="3F119AC7" w14:textId="58FC2C0E">
            <w:pPr>
              <w:jc w:val="left"/>
              <w:rPr>
                <w:b/>
                <w:bCs/>
              </w:rPr>
            </w:pPr>
            <w:r>
              <w:rPr>
                <w:b/>
              </w:rPr>
              <w:t>Performances passées</w:t>
            </w:r>
          </w:p>
        </w:tc>
        <w:tc>
          <w:tcPr>
            <w:tcW w:w="1813" w:type="dxa"/>
            <w:shd w:val="clear" w:color="auto" w:fill="DBE5F1" w:themeFill="accent1" w:themeFillTint="33"/>
          </w:tcPr>
          <w:p w:rsidR="00997EB7" w:rsidP="005C255F" w:rsidRDefault="00997EB7" w14:paraId="216B8C60" w14:textId="69F95FA2">
            <w:r>
              <w:t>Échantillons de travail</w:t>
            </w:r>
          </w:p>
        </w:tc>
        <w:tc>
          <w:tcPr>
            <w:tcW w:w="4740" w:type="dxa"/>
            <w:shd w:val="clear" w:color="auto" w:fill="DBE5F1" w:themeFill="accent1" w:themeFillTint="33"/>
          </w:tcPr>
          <w:p w:rsidR="00997EB7" w:rsidP="005C255F" w:rsidRDefault="005A762E" w14:paraId="35F50EAD" w14:textId="66F9F5C5">
            <w:r>
              <w:t>L</w:t>
            </w:r>
            <w:r w:rsidR="00A35C4D">
              <w:t>’</w:t>
            </w:r>
            <w:r>
              <w:t>entreprise est en mesure de fournir des exemples de travaux récents en rapport avec le projet fictif</w:t>
            </w:r>
            <w:r w:rsidR="00A35C4D">
              <w:t> </w:t>
            </w:r>
            <w:r>
              <w:t>; l</w:t>
            </w:r>
            <w:r w:rsidR="00A35C4D">
              <w:t>’</w:t>
            </w:r>
            <w:r>
              <w:t>exemple de travail démontre une aisance technique, une conception logique de la recherche, un souci du détail, une familiarité avec les meilleures pratiques spécifiques au secteur et une reconnaissance des limites ou des problèmes liés aux résultats du projet</w:t>
            </w:r>
            <w:r w:rsidR="00A35C4D">
              <w:t> </w:t>
            </w:r>
            <w:r>
              <w:t>; l</w:t>
            </w:r>
            <w:r w:rsidR="00A35C4D">
              <w:t>’</w:t>
            </w:r>
            <w:r>
              <w:t>exemple est bien formaté et comporte une marque appropriée.</w:t>
            </w:r>
          </w:p>
        </w:tc>
        <w:tc>
          <w:tcPr>
            <w:tcW w:w="1379" w:type="dxa"/>
            <w:shd w:val="clear" w:color="auto" w:fill="DBE5F1" w:themeFill="accent1" w:themeFillTint="33"/>
            <w:vAlign w:val="center"/>
          </w:tcPr>
          <w:p w:rsidR="00997EB7" w:rsidP="005C255F" w:rsidRDefault="10F6F975" w14:paraId="1540C77C" w14:textId="1E566A00">
            <w:pPr>
              <w:jc w:val="center"/>
            </w:pPr>
            <w:r>
              <w:t>s</w:t>
            </w:r>
            <w:r w:rsidR="00A35C4D">
              <w:t>/</w:t>
            </w:r>
            <w:r>
              <w:t>o</w:t>
            </w:r>
          </w:p>
        </w:tc>
        <w:tc>
          <w:tcPr>
            <w:tcW w:w="856" w:type="dxa"/>
            <w:shd w:val="clear" w:color="auto" w:fill="DBE5F1" w:themeFill="accent1" w:themeFillTint="33"/>
            <w:vAlign w:val="center"/>
          </w:tcPr>
          <w:p w:rsidR="00997EB7" w:rsidP="005C255F" w:rsidRDefault="4E6816D9" w14:paraId="7131A235" w14:textId="742D36E6">
            <w:pPr>
              <w:jc w:val="center"/>
            </w:pPr>
            <w:r>
              <w:t>10</w:t>
            </w:r>
            <w:r w:rsidR="00A35C4D">
              <w:t> </w:t>
            </w:r>
            <w:r>
              <w:t>%</w:t>
            </w:r>
          </w:p>
        </w:tc>
      </w:tr>
      <w:tr w:rsidR="00997EB7" w:rsidTr="005A3A5C" w14:paraId="01566B91" w14:textId="77777777">
        <w:tc>
          <w:tcPr>
            <w:tcW w:w="571" w:type="dxa"/>
            <w:shd w:val="clear" w:color="auto" w:fill="DBE5F1" w:themeFill="accent1" w:themeFillTint="33"/>
            <w:vAlign w:val="center"/>
          </w:tcPr>
          <w:p w:rsidRPr="00F56D18" w:rsidR="00997EB7" w:rsidP="005C255F" w:rsidRDefault="00997EB7" w14:paraId="2F9A615A" w14:textId="52E88B07">
            <w:pPr>
              <w:jc w:val="center"/>
              <w:rPr>
                <w:b/>
                <w:bCs/>
              </w:rPr>
            </w:pPr>
            <w:r>
              <w:rPr>
                <w:b/>
              </w:rPr>
              <w:t>5</w:t>
            </w:r>
          </w:p>
        </w:tc>
        <w:tc>
          <w:tcPr>
            <w:tcW w:w="2004" w:type="dxa"/>
            <w:shd w:val="clear" w:color="auto" w:fill="DBE5F1" w:themeFill="accent1" w:themeFillTint="33"/>
          </w:tcPr>
          <w:p w:rsidRPr="00F56D18" w:rsidR="00997EB7" w:rsidP="005C255F" w:rsidRDefault="4B8ECE51" w14:paraId="509589DE" w14:textId="749CC496">
            <w:pPr>
              <w:jc w:val="left"/>
              <w:rPr>
                <w:b/>
                <w:bCs/>
              </w:rPr>
            </w:pPr>
            <w:r>
              <w:rPr>
                <w:b/>
              </w:rPr>
              <w:t>Coût</w:t>
            </w:r>
          </w:p>
        </w:tc>
        <w:tc>
          <w:tcPr>
            <w:tcW w:w="1813" w:type="dxa"/>
            <w:shd w:val="clear" w:color="auto" w:fill="DBE5F1" w:themeFill="accent1" w:themeFillTint="33"/>
          </w:tcPr>
          <w:p w:rsidR="00997EB7" w:rsidP="005C255F" w:rsidRDefault="001102A4" w14:paraId="13D6F121" w14:textId="4017BEA4">
            <w:r>
              <w:t>Fiche de prix</w:t>
            </w:r>
          </w:p>
        </w:tc>
        <w:tc>
          <w:tcPr>
            <w:tcW w:w="4740" w:type="dxa"/>
            <w:shd w:val="clear" w:color="auto" w:fill="DBE5F1" w:themeFill="accent1" w:themeFillTint="33"/>
          </w:tcPr>
          <w:p w:rsidR="00997EB7" w:rsidP="005C255F" w:rsidRDefault="005A762E" w14:paraId="37ED2C8C" w14:textId="544B5673">
            <w:r>
              <w:t>La proposition de budget de l</w:t>
            </w:r>
            <w:r w:rsidR="00A35C4D">
              <w:t>’</w:t>
            </w:r>
            <w:r>
              <w:t>entreprise est raisonnable pour le projet tel qu</w:t>
            </w:r>
            <w:r w:rsidR="00A35C4D">
              <w:t>’</w:t>
            </w:r>
            <w:r>
              <w:t>il est décrit dans le simulacre de cahier des charges et est conforme aux taux du marché</w:t>
            </w:r>
            <w:r w:rsidR="00A35C4D">
              <w:t> </w:t>
            </w:r>
            <w:r>
              <w:t>; voir le «</w:t>
            </w:r>
            <w:r w:rsidR="00A35C4D">
              <w:t> </w:t>
            </w:r>
            <w:r>
              <w:t>système de notation des coûts</w:t>
            </w:r>
            <w:r w:rsidR="00A35C4D">
              <w:t> </w:t>
            </w:r>
            <w:r>
              <w:t>» pour plus de détails sur la manière de noter les propositions de coûts.</w:t>
            </w:r>
          </w:p>
        </w:tc>
        <w:tc>
          <w:tcPr>
            <w:tcW w:w="1379" w:type="dxa"/>
            <w:shd w:val="clear" w:color="auto" w:fill="DBE5F1" w:themeFill="accent1" w:themeFillTint="33"/>
            <w:vAlign w:val="center"/>
          </w:tcPr>
          <w:p w:rsidR="00997EB7" w:rsidP="005C255F" w:rsidRDefault="00997EB7" w14:paraId="20D2BB1F" w14:textId="292FE4FF">
            <w:pPr>
              <w:jc w:val="center"/>
            </w:pPr>
            <w:r>
              <w:t>5</w:t>
            </w:r>
          </w:p>
        </w:tc>
        <w:tc>
          <w:tcPr>
            <w:tcW w:w="856" w:type="dxa"/>
            <w:shd w:val="clear" w:color="auto" w:fill="DBE5F1" w:themeFill="accent1" w:themeFillTint="33"/>
            <w:vAlign w:val="center"/>
          </w:tcPr>
          <w:p w:rsidR="00997EB7" w:rsidP="005C255F" w:rsidRDefault="09ADA4E6" w14:paraId="4F6159F2" w14:textId="69405B68">
            <w:pPr>
              <w:jc w:val="center"/>
            </w:pPr>
            <w:r>
              <w:t>15</w:t>
            </w:r>
            <w:r w:rsidR="00A35C4D">
              <w:t> </w:t>
            </w:r>
            <w:r>
              <w:t>%</w:t>
            </w:r>
          </w:p>
        </w:tc>
      </w:tr>
      <w:tr w:rsidR="001102A4" w:rsidTr="005A3A5C" w14:paraId="087EBBEF" w14:textId="77777777">
        <w:tc>
          <w:tcPr>
            <w:tcW w:w="571" w:type="dxa"/>
            <w:shd w:val="clear" w:color="auto" w:fill="DBE5F1" w:themeFill="accent1" w:themeFillTint="33"/>
            <w:vAlign w:val="center"/>
          </w:tcPr>
          <w:p w:rsidRPr="00F56D18" w:rsidR="001102A4" w:rsidP="005C255F" w:rsidRDefault="001102A4" w14:paraId="67A168DF" w14:textId="00FC7EC5">
            <w:pPr>
              <w:jc w:val="center"/>
              <w:rPr>
                <w:b/>
                <w:bCs/>
              </w:rPr>
            </w:pPr>
            <w:r>
              <w:rPr>
                <w:b/>
              </w:rPr>
              <w:t>6</w:t>
            </w:r>
          </w:p>
        </w:tc>
        <w:tc>
          <w:tcPr>
            <w:tcW w:w="2004" w:type="dxa"/>
            <w:shd w:val="clear" w:color="auto" w:fill="DBE5F1" w:themeFill="accent1" w:themeFillTint="33"/>
          </w:tcPr>
          <w:p w:rsidRPr="00F56D18" w:rsidR="001102A4" w:rsidP="005C255F" w:rsidRDefault="001102A4" w14:paraId="36413025" w14:textId="768BA4AB">
            <w:pPr>
              <w:jc w:val="left"/>
              <w:rPr>
                <w:b/>
                <w:bCs/>
              </w:rPr>
            </w:pPr>
            <w:r>
              <w:rPr>
                <w:b/>
              </w:rPr>
              <w:t>Efficacité</w:t>
            </w:r>
          </w:p>
        </w:tc>
        <w:tc>
          <w:tcPr>
            <w:tcW w:w="1813" w:type="dxa"/>
            <w:shd w:val="clear" w:color="auto" w:fill="DBE5F1" w:themeFill="accent1" w:themeFillTint="33"/>
          </w:tcPr>
          <w:p w:rsidR="001102A4" w:rsidP="005C255F" w:rsidRDefault="001102A4" w14:paraId="7DE0D2F4" w14:textId="5DCA3F1A">
            <w:r>
              <w:t>Proposition de LOE</w:t>
            </w:r>
          </w:p>
        </w:tc>
        <w:tc>
          <w:tcPr>
            <w:tcW w:w="4740" w:type="dxa"/>
            <w:shd w:val="clear" w:color="auto" w:fill="DBE5F1" w:themeFill="accent1" w:themeFillTint="33"/>
          </w:tcPr>
          <w:p w:rsidRPr="005A762E" w:rsidR="001102A4" w:rsidP="005C255F" w:rsidRDefault="00962064" w14:paraId="3509E0D7" w14:textId="6840948C">
            <w:r>
              <w:t>L</w:t>
            </w:r>
            <w:r w:rsidR="00A35C4D">
              <w:t>’</w:t>
            </w:r>
            <w:r>
              <w:t>entreprise fournit une estimation appropriée et raisonnable du LOE sur la base du SOW fictif fourni</w:t>
            </w:r>
            <w:r w:rsidR="00A35C4D">
              <w:t> </w:t>
            </w:r>
            <w:r>
              <w:t>; le nombre, le niveau d</w:t>
            </w:r>
            <w:r w:rsidR="00A35C4D">
              <w:t>’</w:t>
            </w:r>
            <w:r>
              <w:t>expérience et l</w:t>
            </w:r>
            <w:r w:rsidR="00A35C4D">
              <w:t>’</w:t>
            </w:r>
            <w:r>
              <w:t>estimation du LOE en jours sont proportionnels à l</w:t>
            </w:r>
            <w:r w:rsidR="00A35C4D">
              <w:t>’</w:t>
            </w:r>
            <w:r>
              <w:t>étendue du projet en question et ne sont pas excessifs.</w:t>
            </w:r>
          </w:p>
        </w:tc>
        <w:tc>
          <w:tcPr>
            <w:tcW w:w="1379" w:type="dxa"/>
            <w:shd w:val="clear" w:color="auto" w:fill="DBE5F1" w:themeFill="accent1" w:themeFillTint="33"/>
            <w:vAlign w:val="center"/>
          </w:tcPr>
          <w:p w:rsidR="001102A4" w:rsidP="005C255F" w:rsidRDefault="2B4478C6" w14:paraId="570357DE" w14:textId="4554E9B5">
            <w:pPr>
              <w:jc w:val="center"/>
            </w:pPr>
            <w:r>
              <w:t>5/ 12</w:t>
            </w:r>
          </w:p>
        </w:tc>
        <w:tc>
          <w:tcPr>
            <w:tcW w:w="856" w:type="dxa"/>
            <w:shd w:val="clear" w:color="auto" w:fill="DBE5F1" w:themeFill="accent1" w:themeFillTint="33"/>
            <w:vAlign w:val="center"/>
          </w:tcPr>
          <w:p w:rsidR="001102A4" w:rsidP="005C255F" w:rsidRDefault="2B4478C6" w14:paraId="364ECF98" w14:textId="108FA2BE">
            <w:pPr>
              <w:jc w:val="center"/>
            </w:pPr>
            <w:r>
              <w:t>20</w:t>
            </w:r>
            <w:r w:rsidR="00A35C4D">
              <w:t> </w:t>
            </w:r>
            <w:r>
              <w:t>%</w:t>
            </w:r>
          </w:p>
        </w:tc>
      </w:tr>
      <w:tr w:rsidR="00997EB7" w:rsidTr="005A3A5C" w14:paraId="4A167221" w14:textId="77777777">
        <w:tc>
          <w:tcPr>
            <w:tcW w:w="571" w:type="dxa"/>
            <w:shd w:val="clear" w:color="auto" w:fill="DBE5F1" w:themeFill="accent1" w:themeFillTint="33"/>
            <w:vAlign w:val="center"/>
          </w:tcPr>
          <w:p w:rsidRPr="00F56D18" w:rsidR="00997EB7" w:rsidP="005C255F" w:rsidRDefault="001102A4" w14:paraId="6B6959AA" w14:textId="301DF7C0">
            <w:pPr>
              <w:jc w:val="center"/>
              <w:rPr>
                <w:b/>
                <w:bCs/>
              </w:rPr>
            </w:pPr>
            <w:r>
              <w:rPr>
                <w:b/>
              </w:rPr>
              <w:t>7</w:t>
            </w:r>
          </w:p>
        </w:tc>
        <w:tc>
          <w:tcPr>
            <w:tcW w:w="2004" w:type="dxa"/>
            <w:shd w:val="clear" w:color="auto" w:fill="DBE5F1" w:themeFill="accent1" w:themeFillTint="33"/>
          </w:tcPr>
          <w:p w:rsidRPr="00F56D18" w:rsidR="00997EB7" w:rsidP="005C255F" w:rsidRDefault="00997EB7" w14:paraId="43A1AD3E" w14:textId="71630B5E">
            <w:pPr>
              <w:jc w:val="left"/>
              <w:rPr>
                <w:b/>
                <w:bCs/>
              </w:rPr>
            </w:pPr>
            <w:r>
              <w:rPr>
                <w:b/>
              </w:rPr>
              <w:t>Bonus</w:t>
            </w:r>
            <w:r w:rsidR="00A35C4D">
              <w:rPr>
                <w:b/>
              </w:rPr>
              <w:t> </w:t>
            </w:r>
            <w:r>
              <w:rPr>
                <w:b/>
              </w:rPr>
              <w:t>: Petite entreprise, entreprise appartenant à une minorité ou entreprise appartenant à Global-South</w:t>
            </w:r>
          </w:p>
        </w:tc>
        <w:tc>
          <w:tcPr>
            <w:tcW w:w="1813" w:type="dxa"/>
            <w:shd w:val="clear" w:color="auto" w:fill="DBE5F1" w:themeFill="accent1" w:themeFillTint="33"/>
          </w:tcPr>
          <w:p w:rsidR="00997EB7" w:rsidP="005C255F" w:rsidRDefault="00997EB7" w14:paraId="2C800ADA" w14:textId="36EA15F2">
            <w:r>
              <w:t>Preuve de l</w:t>
            </w:r>
            <w:r w:rsidR="00A35C4D">
              <w:t>’</w:t>
            </w:r>
            <w:r>
              <w:t>existence d</w:t>
            </w:r>
            <w:r w:rsidR="00A35C4D">
              <w:t>’</w:t>
            </w:r>
            <w:r>
              <w:t>une petite entreprise, d</w:t>
            </w:r>
            <w:r w:rsidR="00A35C4D">
              <w:t>’</w:t>
            </w:r>
            <w:r>
              <w:t>une entreprise appartenant à une minorité ou d</w:t>
            </w:r>
            <w:r w:rsidR="00A35C4D">
              <w:t>’</w:t>
            </w:r>
            <w:r>
              <w:t>une entreprise appartenant à Global South</w:t>
            </w:r>
          </w:p>
        </w:tc>
        <w:tc>
          <w:tcPr>
            <w:tcW w:w="4740" w:type="dxa"/>
            <w:shd w:val="clear" w:color="auto" w:fill="DBE5F1" w:themeFill="accent1" w:themeFillTint="33"/>
          </w:tcPr>
          <w:p w:rsidR="00997EB7" w:rsidP="005C255F" w:rsidRDefault="00F56D18" w14:paraId="472D132E" w14:textId="5413382F">
            <w:r>
              <w:t>L</w:t>
            </w:r>
            <w:r w:rsidR="00A35C4D">
              <w:t>’</w:t>
            </w:r>
            <w:r>
              <w:t>entreprise a fourni des documents confirmant son statut de petite entreprise, d</w:t>
            </w:r>
            <w:r w:rsidR="00A35C4D">
              <w:t>’</w:t>
            </w:r>
            <w:r>
              <w:t>entreprise du Sud ou d</w:t>
            </w:r>
            <w:r w:rsidR="00A35C4D">
              <w:t>’</w:t>
            </w:r>
            <w:r>
              <w:t>entreprise appartenant à une minorité.</w:t>
            </w:r>
          </w:p>
        </w:tc>
        <w:tc>
          <w:tcPr>
            <w:tcW w:w="1379" w:type="dxa"/>
            <w:shd w:val="clear" w:color="auto" w:fill="DBE5F1" w:themeFill="accent1" w:themeFillTint="33"/>
            <w:vAlign w:val="center"/>
          </w:tcPr>
          <w:p w:rsidR="00997EB7" w:rsidP="005C255F" w:rsidRDefault="06F94167" w14:paraId="27459837" w14:textId="005F36D9">
            <w:pPr>
              <w:jc w:val="center"/>
            </w:pPr>
            <w:r>
              <w:t>s</w:t>
            </w:r>
            <w:r w:rsidR="00A35C4D">
              <w:t>/</w:t>
            </w:r>
            <w:r>
              <w:t>o</w:t>
            </w:r>
          </w:p>
        </w:tc>
        <w:tc>
          <w:tcPr>
            <w:tcW w:w="856" w:type="dxa"/>
            <w:shd w:val="clear" w:color="auto" w:fill="DBE5F1" w:themeFill="accent1" w:themeFillTint="33"/>
            <w:vAlign w:val="center"/>
          </w:tcPr>
          <w:p w:rsidR="00997EB7" w:rsidP="005C255F" w:rsidRDefault="00A07173" w14:paraId="33ED3AEA" w14:textId="5FC7D927">
            <w:pPr>
              <w:jc w:val="center"/>
            </w:pPr>
            <w:r>
              <w:t>5</w:t>
            </w:r>
            <w:r w:rsidR="00A35C4D">
              <w:t> </w:t>
            </w:r>
            <w:r>
              <w:t>%</w:t>
            </w:r>
          </w:p>
        </w:tc>
      </w:tr>
      <w:tr w:rsidR="001102A4" w:rsidTr="005A3A5C" w14:paraId="3A3BF31B" w14:textId="77777777">
        <w:trPr>
          <w:trHeight w:val="386"/>
        </w:trPr>
        <w:tc>
          <w:tcPr>
            <w:tcW w:w="571" w:type="dxa"/>
            <w:shd w:val="clear" w:color="auto" w:fill="DBE5F1" w:themeFill="accent1" w:themeFillTint="33"/>
            <w:vAlign w:val="center"/>
          </w:tcPr>
          <w:p w:rsidRPr="00F56D18" w:rsidR="001102A4" w:rsidP="005C255F" w:rsidRDefault="001102A4" w14:paraId="059AA028" w14:textId="77777777">
            <w:pPr>
              <w:jc w:val="center"/>
              <w:rPr>
                <w:b/>
                <w:bCs/>
              </w:rPr>
            </w:pPr>
          </w:p>
        </w:tc>
        <w:tc>
          <w:tcPr>
            <w:tcW w:w="2004" w:type="dxa"/>
            <w:shd w:val="clear" w:color="auto" w:fill="DBE5F1" w:themeFill="accent1" w:themeFillTint="33"/>
          </w:tcPr>
          <w:p w:rsidRPr="00F56D18" w:rsidR="001102A4" w:rsidP="005C255F" w:rsidRDefault="001102A4" w14:paraId="17FED455" w14:textId="77777777">
            <w:pPr>
              <w:jc w:val="left"/>
              <w:rPr>
                <w:b/>
                <w:bCs/>
              </w:rPr>
            </w:pPr>
          </w:p>
        </w:tc>
        <w:tc>
          <w:tcPr>
            <w:tcW w:w="1813" w:type="dxa"/>
            <w:shd w:val="clear" w:color="auto" w:fill="DBE5F1" w:themeFill="accent1" w:themeFillTint="33"/>
          </w:tcPr>
          <w:p w:rsidR="001102A4" w:rsidP="005C255F" w:rsidRDefault="001102A4" w14:paraId="26248464" w14:textId="77777777"/>
        </w:tc>
        <w:tc>
          <w:tcPr>
            <w:tcW w:w="4740" w:type="dxa"/>
            <w:shd w:val="clear" w:color="auto" w:fill="DBE5F1" w:themeFill="accent1" w:themeFillTint="33"/>
            <w:vAlign w:val="center"/>
          </w:tcPr>
          <w:p w:rsidRPr="00371C73" w:rsidR="001102A4" w:rsidP="005C255F" w:rsidRDefault="136FB924" w14:paraId="61F7BD0E" w14:textId="10E2A176">
            <w:pPr>
              <w:jc w:val="right"/>
              <w:rPr>
                <w:b/>
                <w:bCs/>
              </w:rPr>
            </w:pPr>
            <w:r>
              <w:rPr>
                <w:b/>
                <w:color w:val="FF0000"/>
              </w:rPr>
              <w:t>LA NOTE MINIMALE DE PASSAGE</w:t>
            </w:r>
            <w:r w:rsidR="00A35C4D">
              <w:rPr>
                <w:b/>
                <w:color w:val="FF0000"/>
              </w:rPr>
              <w:t> </w:t>
            </w:r>
            <w:r>
              <w:rPr>
                <w:b/>
                <w:color w:val="FF0000"/>
              </w:rPr>
              <w:t>:</w:t>
            </w:r>
          </w:p>
        </w:tc>
        <w:tc>
          <w:tcPr>
            <w:tcW w:w="1379" w:type="dxa"/>
            <w:shd w:val="clear" w:color="auto" w:fill="DBE5F1" w:themeFill="accent1" w:themeFillTint="33"/>
            <w:vAlign w:val="center"/>
          </w:tcPr>
          <w:p w:rsidRPr="00371C73" w:rsidR="001102A4" w:rsidP="005C255F" w:rsidRDefault="001102A4" w14:paraId="781C9BEC" w14:textId="3CD55714">
            <w:pPr>
              <w:jc w:val="center"/>
              <w:rPr>
                <w:b/>
                <w:bCs/>
                <w:color w:val="FF0000"/>
              </w:rPr>
            </w:pPr>
          </w:p>
        </w:tc>
        <w:tc>
          <w:tcPr>
            <w:tcW w:w="856" w:type="dxa"/>
            <w:shd w:val="clear" w:color="auto" w:fill="DBE5F1" w:themeFill="accent1" w:themeFillTint="33"/>
            <w:vAlign w:val="center"/>
          </w:tcPr>
          <w:p w:rsidR="001102A4" w:rsidP="005C255F" w:rsidRDefault="499E72DE" w14:paraId="7C96A4C4" w14:textId="6158EA22">
            <w:pPr>
              <w:jc w:val="center"/>
              <w:rPr>
                <w:b/>
                <w:bCs/>
                <w:color w:val="FF0000"/>
              </w:rPr>
            </w:pPr>
            <w:r>
              <w:rPr>
                <w:b/>
                <w:color w:val="FF0000"/>
              </w:rPr>
              <w:t>55</w:t>
            </w:r>
            <w:r w:rsidR="00A35C4D">
              <w:rPr>
                <w:b/>
                <w:color w:val="FF0000"/>
              </w:rPr>
              <w:t> </w:t>
            </w:r>
            <w:r>
              <w:rPr>
                <w:b/>
                <w:color w:val="FF0000"/>
              </w:rPr>
              <w:t>%</w:t>
            </w:r>
          </w:p>
        </w:tc>
      </w:tr>
    </w:tbl>
    <w:p w:rsidRPr="0007319E" w:rsidR="00FF13C8" w:rsidP="005C255F" w:rsidRDefault="00FF13C8" w14:paraId="65E52909" w14:textId="77777777">
      <w:pPr>
        <w:spacing w:line="240" w:lineRule="auto"/>
      </w:pPr>
      <w:bookmarkStart w:name="_y795dx9fqt6i" w:id="54"/>
      <w:bookmarkEnd w:id="54"/>
    </w:p>
    <w:p w:rsidR="00A61C55" w:rsidP="005C255F" w:rsidRDefault="00A61C55" w14:paraId="7C10DD5B" w14:textId="0F5050C5">
      <w:pPr>
        <w:spacing w:line="240" w:lineRule="auto"/>
      </w:pPr>
    </w:p>
    <w:sectPr w:rsidR="00A61C55" w:rsidSect="00127143">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2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167" w:rsidP="00877546" w:rsidRDefault="00F46167" w14:paraId="0D3226AA" w14:textId="77777777">
      <w:r>
        <w:separator/>
      </w:r>
    </w:p>
  </w:endnote>
  <w:endnote w:type="continuationSeparator" w:id="0">
    <w:p w:rsidR="00F46167" w:rsidP="00877546" w:rsidRDefault="00F46167" w14:paraId="5FBF5694" w14:textId="77777777">
      <w:r>
        <w:continuationSeparator/>
      </w:r>
    </w:p>
  </w:endnote>
  <w:endnote w:type="continuationNotice" w:id="1">
    <w:p w:rsidR="00F46167" w:rsidP="00877546" w:rsidRDefault="00F46167" w14:paraId="462120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C4D" w:rsidRDefault="00A35C4D" w14:paraId="7F0ADF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F2738D" w:rsidP="58F2738D" w:rsidRDefault="58F2738D" w14:paraId="27B35ED2" w14:textId="1E863253">
    <w:pPr>
      <w:pStyle w:val="Footer"/>
      <w:jc w:val="right"/>
    </w:pPr>
  </w:p>
  <w:p w:rsidR="006C2093" w:rsidP="009870B8" w:rsidRDefault="006C5634" w14:paraId="546E23CC" w14:textId="23052B9B">
    <w:pPr>
      <w:ind w:right="-180"/>
      <w:jc w:val="center"/>
    </w:pPr>
    <w:r>
      <w:t>Version</w:t>
    </w:r>
    <w:r w:rsidR="00A35C4D">
      <w:t> </w:t>
    </w:r>
    <w:r>
      <w:t>1.1</w:t>
    </w:r>
    <w:r>
      <w:tab/>
    </w:r>
    <w:r>
      <w:tab/>
    </w:r>
    <w:r>
      <w:tab/>
    </w:r>
    <w:r>
      <w:tab/>
    </w:r>
    <w:r>
      <w:tab/>
    </w:r>
    <w:r>
      <w:tab/>
    </w:r>
    <w:r>
      <w:tab/>
    </w:r>
    <w:r>
      <w:tab/>
    </w:r>
    <w:r>
      <w:tab/>
    </w:r>
    <w:r>
      <w:tab/>
    </w:r>
    <w:r>
      <w:tab/>
    </w:r>
    <w:r w:rsidRPr="000372A2" w:rsidR="006C2093">
      <w:rPr>
        <w:color w:val="2B579A"/>
        <w:shd w:val="clear" w:color="auto" w:fill="E6E6E6"/>
      </w:rPr>
      <w:fldChar w:fldCharType="begin"/>
    </w:r>
    <w:r w:rsidRPr="000372A2" w:rsidR="006C2093">
      <w:instrText>PAGE</w:instrText>
    </w:r>
    <w:r w:rsidRPr="000372A2" w:rsidR="006C2093">
      <w:rPr>
        <w:color w:val="2B579A"/>
        <w:shd w:val="clear" w:color="auto" w:fill="E6E6E6"/>
      </w:rPr>
      <w:fldChar w:fldCharType="separate"/>
    </w:r>
    <w:r w:rsidRPr="000372A2" w:rsidR="006F20E3">
      <w:t>1</w:t>
    </w:r>
    <w:r w:rsidRPr="000372A2" w:rsidR="006C209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C4D" w:rsidRDefault="00A35C4D" w14:paraId="5EB642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167" w:rsidP="00877546" w:rsidRDefault="00F46167" w14:paraId="70B3D22D" w14:textId="77777777">
      <w:r>
        <w:separator/>
      </w:r>
    </w:p>
  </w:footnote>
  <w:footnote w:type="continuationSeparator" w:id="0">
    <w:p w:rsidR="00F46167" w:rsidP="00877546" w:rsidRDefault="00F46167" w14:paraId="4929C418" w14:textId="77777777">
      <w:r>
        <w:continuationSeparator/>
      </w:r>
    </w:p>
  </w:footnote>
  <w:footnote w:type="continuationNotice" w:id="1">
    <w:p w:rsidR="00F46167" w:rsidP="00877546" w:rsidRDefault="00F46167" w14:paraId="666C57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C4D" w:rsidRDefault="00A35C4D" w14:paraId="1D7A8A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2093" w:rsidP="00877546" w:rsidRDefault="001153E9" w14:paraId="304E13A7" w14:textId="27B5F861">
    <w:r>
      <w:rPr>
        <w:noProof/>
        <w:color w:val="2B579A"/>
        <w:shd w:val="clear" w:color="auto" w:fill="E6E6E6"/>
      </w:rPr>
      <w:drawing>
        <wp:anchor distT="0" distB="0" distL="114300" distR="114300" simplePos="0" relativeHeight="251658240" behindDoc="0" locked="0" layoutInCell="1" allowOverlap="1" wp14:anchorId="0B06661A" wp14:editId="6395ADFC">
          <wp:simplePos x="0" y="0"/>
          <wp:positionH relativeFrom="column">
            <wp:posOffset>5174314</wp:posOffset>
          </wp:positionH>
          <wp:positionV relativeFrom="paragraph">
            <wp:posOffset>197285</wp:posOffset>
          </wp:positionV>
          <wp:extent cx="1534026" cy="542973"/>
          <wp:effectExtent l="0" t="0" r="9525" b="0"/>
          <wp:wrapNone/>
          <wp:docPr id="725790307" name="Picture 725790307" descr="A red tex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53165" name="Picture 1" descr="A red text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4026" cy="5429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C4D" w:rsidRDefault="00A35C4D" w14:paraId="12DBB1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661"/>
    <w:multiLevelType w:val="hybridMultilevel"/>
    <w:tmpl w:val="43C403CE"/>
    <w:lvl w:ilvl="0" w:tplc="FFFFFFFF">
      <w:start w:val="1"/>
      <w:numFmt w:val="bullet"/>
      <w:lvlText w:val="-"/>
      <w:lvlJc w:val="left"/>
      <w:pPr>
        <w:ind w:left="1080" w:hanging="360"/>
      </w:pPr>
      <w:rPr>
        <w:rFonts w:hint="default" w:ascii="Arial" w:hAnsi="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0974750"/>
    <w:multiLevelType w:val="hybridMultilevel"/>
    <w:tmpl w:val="3474B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C56F39"/>
    <w:multiLevelType w:val="hybridMultilevel"/>
    <w:tmpl w:val="4BC2A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0B60"/>
    <w:multiLevelType w:val="hybridMultilevel"/>
    <w:tmpl w:val="4F4EB5CA"/>
    <w:lvl w:ilvl="0" w:tplc="B180FBE4">
      <w:start w:val="1"/>
      <w:numFmt w:val="bullet"/>
      <w:lvlText w:val=""/>
      <w:lvlJc w:val="left"/>
      <w:pPr>
        <w:ind w:left="1440" w:hanging="360"/>
      </w:pPr>
      <w:rPr>
        <w:rFonts w:hint="default" w:ascii="Wingdings" w:hAnsi="Wingdings"/>
        <w:sz w:val="32"/>
        <w:szCs w:val="3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814938"/>
    <w:multiLevelType w:val="multilevel"/>
    <w:tmpl w:val="EAD6C24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7" w15:restartNumberingAfterBreak="0">
    <w:nsid w:val="227205A1"/>
    <w:multiLevelType w:val="hybridMultilevel"/>
    <w:tmpl w:val="59A0E826"/>
    <w:lvl w:ilvl="0" w:tplc="A5EA6A64">
      <w:start w:val="1"/>
      <w:numFmt w:val="decimal"/>
      <w:lvlText w:val="%1."/>
      <w:lvlJc w:val="left"/>
      <w:pPr>
        <w:ind w:left="720" w:hanging="360"/>
      </w:pPr>
    </w:lvl>
    <w:lvl w:ilvl="1" w:tplc="104A6CCE">
      <w:start w:val="1"/>
      <w:numFmt w:val="lowerLetter"/>
      <w:lvlText w:val="%2."/>
      <w:lvlJc w:val="left"/>
      <w:pPr>
        <w:ind w:left="1440" w:hanging="360"/>
      </w:pPr>
    </w:lvl>
    <w:lvl w:ilvl="2" w:tplc="AC2C88B4">
      <w:start w:val="1"/>
      <w:numFmt w:val="lowerRoman"/>
      <w:lvlText w:val="%3."/>
      <w:lvlJc w:val="right"/>
      <w:pPr>
        <w:ind w:left="2160" w:hanging="180"/>
      </w:pPr>
    </w:lvl>
    <w:lvl w:ilvl="3" w:tplc="0358BD10">
      <w:start w:val="1"/>
      <w:numFmt w:val="decimal"/>
      <w:lvlText w:val="%4."/>
      <w:lvlJc w:val="left"/>
      <w:pPr>
        <w:ind w:left="2880" w:hanging="360"/>
      </w:pPr>
    </w:lvl>
    <w:lvl w:ilvl="4" w:tplc="8C7CD71A">
      <w:start w:val="1"/>
      <w:numFmt w:val="lowerLetter"/>
      <w:lvlText w:val="%5."/>
      <w:lvlJc w:val="left"/>
      <w:pPr>
        <w:ind w:left="3600" w:hanging="360"/>
      </w:pPr>
    </w:lvl>
    <w:lvl w:ilvl="5" w:tplc="B59235D2">
      <w:start w:val="1"/>
      <w:numFmt w:val="lowerRoman"/>
      <w:lvlText w:val="%6."/>
      <w:lvlJc w:val="right"/>
      <w:pPr>
        <w:ind w:left="4320" w:hanging="180"/>
      </w:pPr>
    </w:lvl>
    <w:lvl w:ilvl="6" w:tplc="063EF6A6">
      <w:start w:val="1"/>
      <w:numFmt w:val="decimal"/>
      <w:lvlText w:val="%7."/>
      <w:lvlJc w:val="left"/>
      <w:pPr>
        <w:ind w:left="5040" w:hanging="360"/>
      </w:pPr>
    </w:lvl>
    <w:lvl w:ilvl="7" w:tplc="DA883232">
      <w:start w:val="1"/>
      <w:numFmt w:val="lowerLetter"/>
      <w:lvlText w:val="%8."/>
      <w:lvlJc w:val="left"/>
      <w:pPr>
        <w:ind w:left="5760" w:hanging="360"/>
      </w:pPr>
    </w:lvl>
    <w:lvl w:ilvl="8" w:tplc="18BE7744">
      <w:start w:val="1"/>
      <w:numFmt w:val="lowerRoman"/>
      <w:lvlText w:val="%9."/>
      <w:lvlJc w:val="right"/>
      <w:pPr>
        <w:ind w:left="6480" w:hanging="180"/>
      </w:pPr>
    </w:lvl>
  </w:abstractNum>
  <w:abstractNum w:abstractNumId="8"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01B5C"/>
    <w:multiLevelType w:val="hybridMultilevel"/>
    <w:tmpl w:val="CEEA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756F2"/>
    <w:multiLevelType w:val="hybridMultilevel"/>
    <w:tmpl w:val="B8564254"/>
    <w:lvl w:ilvl="0" w:tplc="D8246270">
      <w:start w:val="1"/>
      <w:numFmt w:val="decimal"/>
      <w:lvlText w:val="%1."/>
      <w:lvlJc w:val="left"/>
      <w:pPr>
        <w:ind w:left="720" w:hanging="360"/>
      </w:pPr>
      <w:rPr>
        <w:rFonts w:hint="default" w:ascii="Arial" w:hAnsi="Arial" w:cs="Arial"/>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032B1"/>
    <w:multiLevelType w:val="hybridMultilevel"/>
    <w:tmpl w:val="3DD2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63B13"/>
    <w:multiLevelType w:val="hybridMultilevel"/>
    <w:tmpl w:val="2C703CE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4E0A52"/>
    <w:multiLevelType w:val="hybridMultilevel"/>
    <w:tmpl w:val="055268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AA7F96"/>
    <w:multiLevelType w:val="hybridMultilevel"/>
    <w:tmpl w:val="03680AC0"/>
    <w:lvl w:ilvl="0" w:tplc="04090001">
      <w:start w:val="1"/>
      <w:numFmt w:val="bullet"/>
      <w:lvlText w:val=""/>
      <w:lvlJc w:val="left"/>
      <w:pPr>
        <w:ind w:left="1440" w:hanging="360"/>
      </w:pPr>
      <w:rPr>
        <w:rFonts w:hint="default" w:ascii="Symbol" w:hAnsi="Symbol"/>
        <w:sz w:val="32"/>
        <w:szCs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CFE2B40"/>
    <w:multiLevelType w:val="hybridMultilevel"/>
    <w:tmpl w:val="ACC22558"/>
    <w:lvl w:ilvl="0" w:tplc="24787AEA">
      <w:start w:val="1"/>
      <w:numFmt w:val="bullet"/>
      <w:lvlText w:val=""/>
      <w:lvlJc w:val="left"/>
      <w:pPr>
        <w:ind w:left="720" w:hanging="360"/>
      </w:pPr>
      <w:rPr>
        <w:rFonts w:hint="default" w:ascii="Wingdings" w:hAnsi="Wingdings"/>
        <w:sz w:val="40"/>
        <w:szCs w:val="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2EA5236"/>
    <w:multiLevelType w:val="hybridMultilevel"/>
    <w:tmpl w:val="3B8841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7CDD7D1E"/>
    <w:multiLevelType w:val="hybridMultilevel"/>
    <w:tmpl w:val="6EA0632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635255316">
    <w:abstractNumId w:val="17"/>
  </w:num>
  <w:num w:numId="2" w16cid:durableId="284964740">
    <w:abstractNumId w:val="13"/>
  </w:num>
  <w:num w:numId="3" w16cid:durableId="221839594">
    <w:abstractNumId w:val="15"/>
  </w:num>
  <w:num w:numId="4" w16cid:durableId="2140762637">
    <w:abstractNumId w:val="5"/>
  </w:num>
  <w:num w:numId="5" w16cid:durableId="175507020">
    <w:abstractNumId w:val="4"/>
  </w:num>
  <w:num w:numId="6" w16cid:durableId="960692793">
    <w:abstractNumId w:val="8"/>
  </w:num>
  <w:num w:numId="7" w16cid:durableId="721901995">
    <w:abstractNumId w:val="6"/>
  </w:num>
  <w:num w:numId="8" w16cid:durableId="406849085">
    <w:abstractNumId w:val="1"/>
  </w:num>
  <w:num w:numId="9" w16cid:durableId="953947680">
    <w:abstractNumId w:val="20"/>
  </w:num>
  <w:num w:numId="10" w16cid:durableId="1610622287">
    <w:abstractNumId w:val="19"/>
  </w:num>
  <w:num w:numId="11" w16cid:durableId="1521506732">
    <w:abstractNumId w:val="12"/>
  </w:num>
  <w:num w:numId="12" w16cid:durableId="996956081">
    <w:abstractNumId w:val="9"/>
  </w:num>
  <w:num w:numId="13" w16cid:durableId="56324567">
    <w:abstractNumId w:val="11"/>
  </w:num>
  <w:num w:numId="14" w16cid:durableId="2076665691">
    <w:abstractNumId w:val="18"/>
  </w:num>
  <w:num w:numId="15" w16cid:durableId="850948537">
    <w:abstractNumId w:val="3"/>
  </w:num>
  <w:num w:numId="16" w16cid:durableId="1162306899">
    <w:abstractNumId w:val="16"/>
  </w:num>
  <w:num w:numId="17" w16cid:durableId="1839153675">
    <w:abstractNumId w:val="14"/>
  </w:num>
  <w:num w:numId="18" w16cid:durableId="1283149242">
    <w:abstractNumId w:val="0"/>
  </w:num>
  <w:num w:numId="19" w16cid:durableId="2001618827">
    <w:abstractNumId w:val="10"/>
  </w:num>
  <w:num w:numId="20" w16cid:durableId="1104836895">
    <w:abstractNumId w:val="7"/>
  </w:num>
  <w:num w:numId="21" w16cid:durableId="177440014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jUwNjAxBpIW5ko6SsGpxcWZ+XkgBYa1ALVYFnosAAAA"/>
  </w:docVars>
  <w:rsids>
    <w:rsidRoot w:val="00766748"/>
    <w:rsid w:val="00007ED4"/>
    <w:rsid w:val="000201FE"/>
    <w:rsid w:val="00021409"/>
    <w:rsid w:val="00023EA8"/>
    <w:rsid w:val="0002640D"/>
    <w:rsid w:val="00030B4E"/>
    <w:rsid w:val="000354F5"/>
    <w:rsid w:val="000372A2"/>
    <w:rsid w:val="000377D8"/>
    <w:rsid w:val="0004143B"/>
    <w:rsid w:val="000453A5"/>
    <w:rsid w:val="00046DAB"/>
    <w:rsid w:val="00047831"/>
    <w:rsid w:val="00052E80"/>
    <w:rsid w:val="00054D7C"/>
    <w:rsid w:val="00056548"/>
    <w:rsid w:val="00064AE0"/>
    <w:rsid w:val="000660F2"/>
    <w:rsid w:val="0007319E"/>
    <w:rsid w:val="00073D22"/>
    <w:rsid w:val="0007489C"/>
    <w:rsid w:val="000754B8"/>
    <w:rsid w:val="000766F7"/>
    <w:rsid w:val="00087CAC"/>
    <w:rsid w:val="00092EB5"/>
    <w:rsid w:val="00094E7E"/>
    <w:rsid w:val="00094F38"/>
    <w:rsid w:val="00095FAB"/>
    <w:rsid w:val="000A2F49"/>
    <w:rsid w:val="000B01C1"/>
    <w:rsid w:val="000B39D8"/>
    <w:rsid w:val="000D248C"/>
    <w:rsid w:val="000D4BF4"/>
    <w:rsid w:val="000E1971"/>
    <w:rsid w:val="000E44F7"/>
    <w:rsid w:val="000E4A95"/>
    <w:rsid w:val="000E73D6"/>
    <w:rsid w:val="000F5952"/>
    <w:rsid w:val="00100061"/>
    <w:rsid w:val="00101A94"/>
    <w:rsid w:val="001049EC"/>
    <w:rsid w:val="001064EB"/>
    <w:rsid w:val="00107984"/>
    <w:rsid w:val="001102A4"/>
    <w:rsid w:val="00111985"/>
    <w:rsid w:val="001129B7"/>
    <w:rsid w:val="001153E9"/>
    <w:rsid w:val="00116273"/>
    <w:rsid w:val="00116934"/>
    <w:rsid w:val="00117F23"/>
    <w:rsid w:val="00126AFC"/>
    <w:rsid w:val="00127143"/>
    <w:rsid w:val="00134387"/>
    <w:rsid w:val="00136152"/>
    <w:rsid w:val="00137CB5"/>
    <w:rsid w:val="00142400"/>
    <w:rsid w:val="001438A7"/>
    <w:rsid w:val="00146495"/>
    <w:rsid w:val="001466F5"/>
    <w:rsid w:val="0016438A"/>
    <w:rsid w:val="00167353"/>
    <w:rsid w:val="00167D4E"/>
    <w:rsid w:val="001710A5"/>
    <w:rsid w:val="001822C3"/>
    <w:rsid w:val="00184D51"/>
    <w:rsid w:val="001944E5"/>
    <w:rsid w:val="001A2589"/>
    <w:rsid w:val="001A26B1"/>
    <w:rsid w:val="001A278B"/>
    <w:rsid w:val="001C5149"/>
    <w:rsid w:val="001C7E53"/>
    <w:rsid w:val="001D3A57"/>
    <w:rsid w:val="001D4570"/>
    <w:rsid w:val="001E2760"/>
    <w:rsid w:val="001E536A"/>
    <w:rsid w:val="001F5A61"/>
    <w:rsid w:val="001F7F7B"/>
    <w:rsid w:val="002051DD"/>
    <w:rsid w:val="00211D8E"/>
    <w:rsid w:val="00214484"/>
    <w:rsid w:val="00215FD0"/>
    <w:rsid w:val="002212CA"/>
    <w:rsid w:val="00221EA3"/>
    <w:rsid w:val="002259A0"/>
    <w:rsid w:val="00226FDE"/>
    <w:rsid w:val="00233330"/>
    <w:rsid w:val="00246ACC"/>
    <w:rsid w:val="00250CB9"/>
    <w:rsid w:val="00251332"/>
    <w:rsid w:val="002535A1"/>
    <w:rsid w:val="00266021"/>
    <w:rsid w:val="00266325"/>
    <w:rsid w:val="00267B09"/>
    <w:rsid w:val="00271928"/>
    <w:rsid w:val="00271EC3"/>
    <w:rsid w:val="00273AD9"/>
    <w:rsid w:val="00275116"/>
    <w:rsid w:val="0029178A"/>
    <w:rsid w:val="002A2E35"/>
    <w:rsid w:val="002B1A6F"/>
    <w:rsid w:val="002B6E80"/>
    <w:rsid w:val="002D4855"/>
    <w:rsid w:val="002D7C79"/>
    <w:rsid w:val="002E0EA0"/>
    <w:rsid w:val="002E2E6C"/>
    <w:rsid w:val="002E316F"/>
    <w:rsid w:val="002E629F"/>
    <w:rsid w:val="002E6715"/>
    <w:rsid w:val="002F1D02"/>
    <w:rsid w:val="002F4DE3"/>
    <w:rsid w:val="0030318F"/>
    <w:rsid w:val="00312880"/>
    <w:rsid w:val="00314458"/>
    <w:rsid w:val="00314C7A"/>
    <w:rsid w:val="00316352"/>
    <w:rsid w:val="00317338"/>
    <w:rsid w:val="00326F70"/>
    <w:rsid w:val="0033121E"/>
    <w:rsid w:val="00331B95"/>
    <w:rsid w:val="00333B6F"/>
    <w:rsid w:val="00342A70"/>
    <w:rsid w:val="00344B0E"/>
    <w:rsid w:val="003531C5"/>
    <w:rsid w:val="003544D4"/>
    <w:rsid w:val="0035569A"/>
    <w:rsid w:val="00357935"/>
    <w:rsid w:val="00361BB5"/>
    <w:rsid w:val="003708AF"/>
    <w:rsid w:val="003715A2"/>
    <w:rsid w:val="00371C73"/>
    <w:rsid w:val="00372F61"/>
    <w:rsid w:val="003740A0"/>
    <w:rsid w:val="003740B5"/>
    <w:rsid w:val="003758D1"/>
    <w:rsid w:val="00376370"/>
    <w:rsid w:val="00380723"/>
    <w:rsid w:val="00381636"/>
    <w:rsid w:val="003839CB"/>
    <w:rsid w:val="003839F9"/>
    <w:rsid w:val="00383E59"/>
    <w:rsid w:val="00386F7D"/>
    <w:rsid w:val="00397144"/>
    <w:rsid w:val="003A13D5"/>
    <w:rsid w:val="003A1875"/>
    <w:rsid w:val="003A4C98"/>
    <w:rsid w:val="003A630B"/>
    <w:rsid w:val="003B2799"/>
    <w:rsid w:val="003B37DE"/>
    <w:rsid w:val="003B39F3"/>
    <w:rsid w:val="003B6172"/>
    <w:rsid w:val="003C77AA"/>
    <w:rsid w:val="003C7EFA"/>
    <w:rsid w:val="003CF98A"/>
    <w:rsid w:val="003CFBCD"/>
    <w:rsid w:val="003D0DF1"/>
    <w:rsid w:val="003D22E9"/>
    <w:rsid w:val="003D53E5"/>
    <w:rsid w:val="003E47E9"/>
    <w:rsid w:val="003E5D6F"/>
    <w:rsid w:val="003E7D7E"/>
    <w:rsid w:val="003F1F0A"/>
    <w:rsid w:val="003F5030"/>
    <w:rsid w:val="00402845"/>
    <w:rsid w:val="00407DF0"/>
    <w:rsid w:val="00407EB5"/>
    <w:rsid w:val="00423119"/>
    <w:rsid w:val="00432116"/>
    <w:rsid w:val="00436835"/>
    <w:rsid w:val="00437A51"/>
    <w:rsid w:val="00442C90"/>
    <w:rsid w:val="0044300B"/>
    <w:rsid w:val="00450203"/>
    <w:rsid w:val="00463A0C"/>
    <w:rsid w:val="004640A4"/>
    <w:rsid w:val="00464E54"/>
    <w:rsid w:val="00467821"/>
    <w:rsid w:val="00467A51"/>
    <w:rsid w:val="00470284"/>
    <w:rsid w:val="0047335F"/>
    <w:rsid w:val="004813AB"/>
    <w:rsid w:val="00481EFF"/>
    <w:rsid w:val="00482419"/>
    <w:rsid w:val="0048293B"/>
    <w:rsid w:val="004855AE"/>
    <w:rsid w:val="004864D7"/>
    <w:rsid w:val="00492036"/>
    <w:rsid w:val="00496234"/>
    <w:rsid w:val="00496A11"/>
    <w:rsid w:val="004C4B2F"/>
    <w:rsid w:val="004C5E14"/>
    <w:rsid w:val="004F3D22"/>
    <w:rsid w:val="004F5B96"/>
    <w:rsid w:val="004F7144"/>
    <w:rsid w:val="005004ED"/>
    <w:rsid w:val="00505107"/>
    <w:rsid w:val="0051182A"/>
    <w:rsid w:val="0051246D"/>
    <w:rsid w:val="00521B01"/>
    <w:rsid w:val="00523C0B"/>
    <w:rsid w:val="00526AD7"/>
    <w:rsid w:val="00526F89"/>
    <w:rsid w:val="00527A2B"/>
    <w:rsid w:val="00530550"/>
    <w:rsid w:val="00540B4F"/>
    <w:rsid w:val="00542AA4"/>
    <w:rsid w:val="00542FF7"/>
    <w:rsid w:val="00553499"/>
    <w:rsid w:val="00554D60"/>
    <w:rsid w:val="00564907"/>
    <w:rsid w:val="00565FC3"/>
    <w:rsid w:val="00566FB1"/>
    <w:rsid w:val="00570EE1"/>
    <w:rsid w:val="00585AA3"/>
    <w:rsid w:val="00590F05"/>
    <w:rsid w:val="00593F99"/>
    <w:rsid w:val="005A3A5C"/>
    <w:rsid w:val="005A3B59"/>
    <w:rsid w:val="005A762E"/>
    <w:rsid w:val="005B213F"/>
    <w:rsid w:val="005C255F"/>
    <w:rsid w:val="005D193E"/>
    <w:rsid w:val="005E5CB5"/>
    <w:rsid w:val="005E5E78"/>
    <w:rsid w:val="005F199E"/>
    <w:rsid w:val="005F3DC8"/>
    <w:rsid w:val="005F5740"/>
    <w:rsid w:val="005F6172"/>
    <w:rsid w:val="006023CB"/>
    <w:rsid w:val="0060423B"/>
    <w:rsid w:val="006052CB"/>
    <w:rsid w:val="006069BE"/>
    <w:rsid w:val="006141FD"/>
    <w:rsid w:val="0061448B"/>
    <w:rsid w:val="0061486E"/>
    <w:rsid w:val="006216E4"/>
    <w:rsid w:val="00621924"/>
    <w:rsid w:val="00636D7F"/>
    <w:rsid w:val="00640527"/>
    <w:rsid w:val="00641FAE"/>
    <w:rsid w:val="00652158"/>
    <w:rsid w:val="00657BC0"/>
    <w:rsid w:val="00661346"/>
    <w:rsid w:val="00663DCC"/>
    <w:rsid w:val="0066608C"/>
    <w:rsid w:val="0066757A"/>
    <w:rsid w:val="006777F1"/>
    <w:rsid w:val="0068067B"/>
    <w:rsid w:val="00690280"/>
    <w:rsid w:val="00690690"/>
    <w:rsid w:val="006A63DD"/>
    <w:rsid w:val="006B03E6"/>
    <w:rsid w:val="006B3B42"/>
    <w:rsid w:val="006B74CB"/>
    <w:rsid w:val="006C1340"/>
    <w:rsid w:val="006C2093"/>
    <w:rsid w:val="006C5634"/>
    <w:rsid w:val="006C79FE"/>
    <w:rsid w:val="006D1540"/>
    <w:rsid w:val="006E03F1"/>
    <w:rsid w:val="006E231A"/>
    <w:rsid w:val="006F0863"/>
    <w:rsid w:val="006F20E3"/>
    <w:rsid w:val="006F2B70"/>
    <w:rsid w:val="006F3ED9"/>
    <w:rsid w:val="006F508D"/>
    <w:rsid w:val="006F66AF"/>
    <w:rsid w:val="006F6F4E"/>
    <w:rsid w:val="006F71EB"/>
    <w:rsid w:val="00706F87"/>
    <w:rsid w:val="00716007"/>
    <w:rsid w:val="00725F6F"/>
    <w:rsid w:val="0073150E"/>
    <w:rsid w:val="00737C6F"/>
    <w:rsid w:val="00742253"/>
    <w:rsid w:val="00743AA0"/>
    <w:rsid w:val="007507B5"/>
    <w:rsid w:val="007508B7"/>
    <w:rsid w:val="00750F67"/>
    <w:rsid w:val="00752510"/>
    <w:rsid w:val="00752C36"/>
    <w:rsid w:val="00754260"/>
    <w:rsid w:val="00763DAA"/>
    <w:rsid w:val="00766748"/>
    <w:rsid w:val="00773D38"/>
    <w:rsid w:val="00776237"/>
    <w:rsid w:val="0078300A"/>
    <w:rsid w:val="00791917"/>
    <w:rsid w:val="00791C1F"/>
    <w:rsid w:val="00796B4A"/>
    <w:rsid w:val="007A2AF2"/>
    <w:rsid w:val="007A2DDC"/>
    <w:rsid w:val="007A6015"/>
    <w:rsid w:val="007A7F0E"/>
    <w:rsid w:val="007C3B28"/>
    <w:rsid w:val="007C5464"/>
    <w:rsid w:val="007D03CF"/>
    <w:rsid w:val="007E2E49"/>
    <w:rsid w:val="007F28D3"/>
    <w:rsid w:val="007F3C05"/>
    <w:rsid w:val="007F3E98"/>
    <w:rsid w:val="007F4D60"/>
    <w:rsid w:val="007F5820"/>
    <w:rsid w:val="007F5C94"/>
    <w:rsid w:val="00804244"/>
    <w:rsid w:val="008046DF"/>
    <w:rsid w:val="00805AE7"/>
    <w:rsid w:val="008104A2"/>
    <w:rsid w:val="008166C4"/>
    <w:rsid w:val="00822D1B"/>
    <w:rsid w:val="00843D91"/>
    <w:rsid w:val="008467E3"/>
    <w:rsid w:val="00862E09"/>
    <w:rsid w:val="008737C9"/>
    <w:rsid w:val="00875A14"/>
    <w:rsid w:val="00876531"/>
    <w:rsid w:val="00877546"/>
    <w:rsid w:val="00880535"/>
    <w:rsid w:val="00882C55"/>
    <w:rsid w:val="0088636B"/>
    <w:rsid w:val="008931BB"/>
    <w:rsid w:val="0089500E"/>
    <w:rsid w:val="00895138"/>
    <w:rsid w:val="00896A1A"/>
    <w:rsid w:val="00897801"/>
    <w:rsid w:val="00897A6E"/>
    <w:rsid w:val="00899C37"/>
    <w:rsid w:val="008A1261"/>
    <w:rsid w:val="008A7A1B"/>
    <w:rsid w:val="008C1031"/>
    <w:rsid w:val="008C1F02"/>
    <w:rsid w:val="008C32A8"/>
    <w:rsid w:val="008D1ED3"/>
    <w:rsid w:val="008D2C98"/>
    <w:rsid w:val="008D488B"/>
    <w:rsid w:val="008D4D3D"/>
    <w:rsid w:val="008D63B2"/>
    <w:rsid w:val="008E3CB1"/>
    <w:rsid w:val="008E5DE5"/>
    <w:rsid w:val="008F2BE9"/>
    <w:rsid w:val="008F3CB6"/>
    <w:rsid w:val="008F7BCC"/>
    <w:rsid w:val="009041E1"/>
    <w:rsid w:val="009072A6"/>
    <w:rsid w:val="00907B6C"/>
    <w:rsid w:val="0091133C"/>
    <w:rsid w:val="00912600"/>
    <w:rsid w:val="00912983"/>
    <w:rsid w:val="00913454"/>
    <w:rsid w:val="009178F1"/>
    <w:rsid w:val="009256F3"/>
    <w:rsid w:val="009306F2"/>
    <w:rsid w:val="00940D26"/>
    <w:rsid w:val="00941258"/>
    <w:rsid w:val="00946281"/>
    <w:rsid w:val="0095074D"/>
    <w:rsid w:val="00962064"/>
    <w:rsid w:val="0096616B"/>
    <w:rsid w:val="00970385"/>
    <w:rsid w:val="0097098A"/>
    <w:rsid w:val="00971FC7"/>
    <w:rsid w:val="00974E92"/>
    <w:rsid w:val="00975953"/>
    <w:rsid w:val="009761D6"/>
    <w:rsid w:val="009870B8"/>
    <w:rsid w:val="009957F8"/>
    <w:rsid w:val="00997EB7"/>
    <w:rsid w:val="009A0A2B"/>
    <w:rsid w:val="009A2051"/>
    <w:rsid w:val="009A7979"/>
    <w:rsid w:val="009B2293"/>
    <w:rsid w:val="009B27AB"/>
    <w:rsid w:val="009B58DB"/>
    <w:rsid w:val="009B6A13"/>
    <w:rsid w:val="009B6CE6"/>
    <w:rsid w:val="009B7DD4"/>
    <w:rsid w:val="009C1716"/>
    <w:rsid w:val="009C7FC1"/>
    <w:rsid w:val="009D3E14"/>
    <w:rsid w:val="009F0B92"/>
    <w:rsid w:val="009F34A2"/>
    <w:rsid w:val="009F3D82"/>
    <w:rsid w:val="009F6BDB"/>
    <w:rsid w:val="00A010BE"/>
    <w:rsid w:val="00A02A49"/>
    <w:rsid w:val="00A05A20"/>
    <w:rsid w:val="00A07173"/>
    <w:rsid w:val="00A159CB"/>
    <w:rsid w:val="00A17FD4"/>
    <w:rsid w:val="00A204EA"/>
    <w:rsid w:val="00A21A0B"/>
    <w:rsid w:val="00A2742B"/>
    <w:rsid w:val="00A3431F"/>
    <w:rsid w:val="00A34597"/>
    <w:rsid w:val="00A35C4D"/>
    <w:rsid w:val="00A54353"/>
    <w:rsid w:val="00A61C55"/>
    <w:rsid w:val="00A61DB8"/>
    <w:rsid w:val="00A65D72"/>
    <w:rsid w:val="00A67A1B"/>
    <w:rsid w:val="00A71C5B"/>
    <w:rsid w:val="00A7731D"/>
    <w:rsid w:val="00A80B47"/>
    <w:rsid w:val="00A81E6C"/>
    <w:rsid w:val="00A8284B"/>
    <w:rsid w:val="00A93FB6"/>
    <w:rsid w:val="00A9629E"/>
    <w:rsid w:val="00AA3566"/>
    <w:rsid w:val="00AA4FDB"/>
    <w:rsid w:val="00AA6E38"/>
    <w:rsid w:val="00AB70C6"/>
    <w:rsid w:val="00AC28F7"/>
    <w:rsid w:val="00AC63A7"/>
    <w:rsid w:val="00AD66CB"/>
    <w:rsid w:val="00AD6856"/>
    <w:rsid w:val="00AE71B1"/>
    <w:rsid w:val="00AE786F"/>
    <w:rsid w:val="00AF4505"/>
    <w:rsid w:val="00B0193B"/>
    <w:rsid w:val="00B047C2"/>
    <w:rsid w:val="00B054D8"/>
    <w:rsid w:val="00B100BF"/>
    <w:rsid w:val="00B221FF"/>
    <w:rsid w:val="00B3063A"/>
    <w:rsid w:val="00B316CE"/>
    <w:rsid w:val="00B358C2"/>
    <w:rsid w:val="00B37EA0"/>
    <w:rsid w:val="00B40F5D"/>
    <w:rsid w:val="00B45789"/>
    <w:rsid w:val="00B468B7"/>
    <w:rsid w:val="00B46BF3"/>
    <w:rsid w:val="00B54311"/>
    <w:rsid w:val="00B621D6"/>
    <w:rsid w:val="00B634B8"/>
    <w:rsid w:val="00B7738F"/>
    <w:rsid w:val="00B90985"/>
    <w:rsid w:val="00B90D99"/>
    <w:rsid w:val="00B90DDA"/>
    <w:rsid w:val="00B91FB9"/>
    <w:rsid w:val="00B93D9F"/>
    <w:rsid w:val="00B97431"/>
    <w:rsid w:val="00BA3383"/>
    <w:rsid w:val="00BB6311"/>
    <w:rsid w:val="00BD0BAC"/>
    <w:rsid w:val="00BE36A6"/>
    <w:rsid w:val="00BE7A42"/>
    <w:rsid w:val="00BF0A34"/>
    <w:rsid w:val="00BF2898"/>
    <w:rsid w:val="00BF7E85"/>
    <w:rsid w:val="00C03076"/>
    <w:rsid w:val="00C06349"/>
    <w:rsid w:val="00C07C14"/>
    <w:rsid w:val="00C1146C"/>
    <w:rsid w:val="00C177B2"/>
    <w:rsid w:val="00C2123B"/>
    <w:rsid w:val="00C22D16"/>
    <w:rsid w:val="00C30323"/>
    <w:rsid w:val="00C323B7"/>
    <w:rsid w:val="00C32DA9"/>
    <w:rsid w:val="00C33E07"/>
    <w:rsid w:val="00C34902"/>
    <w:rsid w:val="00C44583"/>
    <w:rsid w:val="00C47AD3"/>
    <w:rsid w:val="00C52B80"/>
    <w:rsid w:val="00C56A03"/>
    <w:rsid w:val="00C60172"/>
    <w:rsid w:val="00C61013"/>
    <w:rsid w:val="00C63504"/>
    <w:rsid w:val="00C66789"/>
    <w:rsid w:val="00C67FAD"/>
    <w:rsid w:val="00C71AA2"/>
    <w:rsid w:val="00C736A5"/>
    <w:rsid w:val="00C73D43"/>
    <w:rsid w:val="00C77E4C"/>
    <w:rsid w:val="00C86E26"/>
    <w:rsid w:val="00C94100"/>
    <w:rsid w:val="00CA1331"/>
    <w:rsid w:val="00CA1A1E"/>
    <w:rsid w:val="00CA2D89"/>
    <w:rsid w:val="00CA3151"/>
    <w:rsid w:val="00CA3B28"/>
    <w:rsid w:val="00CA4D7A"/>
    <w:rsid w:val="00CA5EF1"/>
    <w:rsid w:val="00CB4F2B"/>
    <w:rsid w:val="00CC2847"/>
    <w:rsid w:val="00CD2354"/>
    <w:rsid w:val="00CD3EDD"/>
    <w:rsid w:val="00CD5B07"/>
    <w:rsid w:val="00CD631F"/>
    <w:rsid w:val="00CE799C"/>
    <w:rsid w:val="00CF1DDD"/>
    <w:rsid w:val="00D06EF8"/>
    <w:rsid w:val="00D108E4"/>
    <w:rsid w:val="00D1438E"/>
    <w:rsid w:val="00D1569D"/>
    <w:rsid w:val="00D17D64"/>
    <w:rsid w:val="00D22B31"/>
    <w:rsid w:val="00D22B5C"/>
    <w:rsid w:val="00D2383F"/>
    <w:rsid w:val="00D27446"/>
    <w:rsid w:val="00D30751"/>
    <w:rsid w:val="00D33B34"/>
    <w:rsid w:val="00D41889"/>
    <w:rsid w:val="00D56D0A"/>
    <w:rsid w:val="00D56DCB"/>
    <w:rsid w:val="00D711DA"/>
    <w:rsid w:val="00D7139F"/>
    <w:rsid w:val="00D741E2"/>
    <w:rsid w:val="00D76167"/>
    <w:rsid w:val="00D80748"/>
    <w:rsid w:val="00D84066"/>
    <w:rsid w:val="00D8498A"/>
    <w:rsid w:val="00D86273"/>
    <w:rsid w:val="00D868BB"/>
    <w:rsid w:val="00D9003A"/>
    <w:rsid w:val="00D92D46"/>
    <w:rsid w:val="00D972BC"/>
    <w:rsid w:val="00D97477"/>
    <w:rsid w:val="00D97A2B"/>
    <w:rsid w:val="00DA3378"/>
    <w:rsid w:val="00DC3867"/>
    <w:rsid w:val="00DC46DE"/>
    <w:rsid w:val="00DD30C9"/>
    <w:rsid w:val="00DD4586"/>
    <w:rsid w:val="00DD75C4"/>
    <w:rsid w:val="00DF35E0"/>
    <w:rsid w:val="00DF3E55"/>
    <w:rsid w:val="00DF4FAA"/>
    <w:rsid w:val="00DF5D48"/>
    <w:rsid w:val="00E041F6"/>
    <w:rsid w:val="00E05C9E"/>
    <w:rsid w:val="00E07796"/>
    <w:rsid w:val="00E10BE9"/>
    <w:rsid w:val="00E11DBE"/>
    <w:rsid w:val="00E121DD"/>
    <w:rsid w:val="00E1454E"/>
    <w:rsid w:val="00E1531A"/>
    <w:rsid w:val="00E22275"/>
    <w:rsid w:val="00E32F2D"/>
    <w:rsid w:val="00E337B1"/>
    <w:rsid w:val="00E33B7F"/>
    <w:rsid w:val="00E3458D"/>
    <w:rsid w:val="00E3470B"/>
    <w:rsid w:val="00E34800"/>
    <w:rsid w:val="00E40102"/>
    <w:rsid w:val="00E4154C"/>
    <w:rsid w:val="00E42351"/>
    <w:rsid w:val="00E442EF"/>
    <w:rsid w:val="00E56C5D"/>
    <w:rsid w:val="00E63D5E"/>
    <w:rsid w:val="00E70A27"/>
    <w:rsid w:val="00E71EA8"/>
    <w:rsid w:val="00E72760"/>
    <w:rsid w:val="00E749FD"/>
    <w:rsid w:val="00E75523"/>
    <w:rsid w:val="00E77A77"/>
    <w:rsid w:val="00E81B2A"/>
    <w:rsid w:val="00E82C32"/>
    <w:rsid w:val="00E83B4D"/>
    <w:rsid w:val="00E84142"/>
    <w:rsid w:val="00E905AB"/>
    <w:rsid w:val="00E914ED"/>
    <w:rsid w:val="00EB3115"/>
    <w:rsid w:val="00EB5E8F"/>
    <w:rsid w:val="00EC2814"/>
    <w:rsid w:val="00ED0348"/>
    <w:rsid w:val="00ED3839"/>
    <w:rsid w:val="00ED5286"/>
    <w:rsid w:val="00ED5CAC"/>
    <w:rsid w:val="00ED6446"/>
    <w:rsid w:val="00EE619A"/>
    <w:rsid w:val="00EF0BEE"/>
    <w:rsid w:val="00F00A5C"/>
    <w:rsid w:val="00F02F15"/>
    <w:rsid w:val="00F04C29"/>
    <w:rsid w:val="00F23FFF"/>
    <w:rsid w:val="00F265FF"/>
    <w:rsid w:val="00F30966"/>
    <w:rsid w:val="00F320FC"/>
    <w:rsid w:val="00F36ED1"/>
    <w:rsid w:val="00F375AD"/>
    <w:rsid w:val="00F4020F"/>
    <w:rsid w:val="00F418BC"/>
    <w:rsid w:val="00F44740"/>
    <w:rsid w:val="00F46167"/>
    <w:rsid w:val="00F505A7"/>
    <w:rsid w:val="00F53B0C"/>
    <w:rsid w:val="00F54405"/>
    <w:rsid w:val="00F561A1"/>
    <w:rsid w:val="00F56D18"/>
    <w:rsid w:val="00F618F8"/>
    <w:rsid w:val="00F63A9A"/>
    <w:rsid w:val="00F65930"/>
    <w:rsid w:val="00F73691"/>
    <w:rsid w:val="00F7641E"/>
    <w:rsid w:val="00F81022"/>
    <w:rsid w:val="00F90B7B"/>
    <w:rsid w:val="00F9269E"/>
    <w:rsid w:val="00FA2097"/>
    <w:rsid w:val="00FA4E9E"/>
    <w:rsid w:val="00FA52D7"/>
    <w:rsid w:val="00FB14FB"/>
    <w:rsid w:val="00FB171B"/>
    <w:rsid w:val="00FB408F"/>
    <w:rsid w:val="00FB425C"/>
    <w:rsid w:val="00FB79EA"/>
    <w:rsid w:val="00FC0CC9"/>
    <w:rsid w:val="00FC32DF"/>
    <w:rsid w:val="00FC672C"/>
    <w:rsid w:val="00FD0D90"/>
    <w:rsid w:val="00FD4350"/>
    <w:rsid w:val="00FE360A"/>
    <w:rsid w:val="00FF13C8"/>
    <w:rsid w:val="00FF5D1E"/>
    <w:rsid w:val="00FF69C6"/>
    <w:rsid w:val="00FF7BA4"/>
    <w:rsid w:val="010E7FEC"/>
    <w:rsid w:val="01568136"/>
    <w:rsid w:val="015DD199"/>
    <w:rsid w:val="0161FCCE"/>
    <w:rsid w:val="01746F66"/>
    <w:rsid w:val="01883683"/>
    <w:rsid w:val="0192BD8B"/>
    <w:rsid w:val="021B44FE"/>
    <w:rsid w:val="023B1162"/>
    <w:rsid w:val="025159D4"/>
    <w:rsid w:val="02CC8095"/>
    <w:rsid w:val="02D1E5EE"/>
    <w:rsid w:val="0310EB13"/>
    <w:rsid w:val="032406E4"/>
    <w:rsid w:val="032ED02A"/>
    <w:rsid w:val="036111C1"/>
    <w:rsid w:val="0394CC94"/>
    <w:rsid w:val="03ACC5D2"/>
    <w:rsid w:val="03BBC320"/>
    <w:rsid w:val="03EBE09E"/>
    <w:rsid w:val="043A0EE9"/>
    <w:rsid w:val="046E6E78"/>
    <w:rsid w:val="04BB82AC"/>
    <w:rsid w:val="04CE70B8"/>
    <w:rsid w:val="04D24BD3"/>
    <w:rsid w:val="04D73C61"/>
    <w:rsid w:val="0551AEA0"/>
    <w:rsid w:val="05556CBC"/>
    <w:rsid w:val="057CD505"/>
    <w:rsid w:val="05D0AE55"/>
    <w:rsid w:val="05D5152F"/>
    <w:rsid w:val="05E72332"/>
    <w:rsid w:val="05F23847"/>
    <w:rsid w:val="05F388B5"/>
    <w:rsid w:val="061FC1F6"/>
    <w:rsid w:val="0682A2D6"/>
    <w:rsid w:val="06A71A93"/>
    <w:rsid w:val="06A89BB2"/>
    <w:rsid w:val="06F94167"/>
    <w:rsid w:val="07BE5115"/>
    <w:rsid w:val="07D0FB13"/>
    <w:rsid w:val="07D77972"/>
    <w:rsid w:val="08021914"/>
    <w:rsid w:val="0852C757"/>
    <w:rsid w:val="086BF1F2"/>
    <w:rsid w:val="087187B9"/>
    <w:rsid w:val="08B68054"/>
    <w:rsid w:val="0918A366"/>
    <w:rsid w:val="091C2C9D"/>
    <w:rsid w:val="093D04FA"/>
    <w:rsid w:val="09ADA4E6"/>
    <w:rsid w:val="09B06468"/>
    <w:rsid w:val="09B2198B"/>
    <w:rsid w:val="0A200606"/>
    <w:rsid w:val="0A605F5C"/>
    <w:rsid w:val="0A9C0A2F"/>
    <w:rsid w:val="0AE1045A"/>
    <w:rsid w:val="0AFF79AD"/>
    <w:rsid w:val="0B6371BE"/>
    <w:rsid w:val="0B671249"/>
    <w:rsid w:val="0B6721E2"/>
    <w:rsid w:val="0BB00465"/>
    <w:rsid w:val="0C95F90C"/>
    <w:rsid w:val="0CFBC0D5"/>
    <w:rsid w:val="0D3C2D1C"/>
    <w:rsid w:val="0D3C4BA9"/>
    <w:rsid w:val="0D65C69E"/>
    <w:rsid w:val="0D739149"/>
    <w:rsid w:val="0D88643A"/>
    <w:rsid w:val="0D9EAD88"/>
    <w:rsid w:val="0DDA8801"/>
    <w:rsid w:val="0E466A63"/>
    <w:rsid w:val="0E5F8029"/>
    <w:rsid w:val="0F28648F"/>
    <w:rsid w:val="0F953899"/>
    <w:rsid w:val="0FB4757D"/>
    <w:rsid w:val="1014FE7A"/>
    <w:rsid w:val="102F26DC"/>
    <w:rsid w:val="1046448C"/>
    <w:rsid w:val="107CD6EA"/>
    <w:rsid w:val="10B0269F"/>
    <w:rsid w:val="10B922D4"/>
    <w:rsid w:val="10F6F975"/>
    <w:rsid w:val="115A0892"/>
    <w:rsid w:val="1190F9F9"/>
    <w:rsid w:val="11CC2B75"/>
    <w:rsid w:val="11D653CD"/>
    <w:rsid w:val="11FC4830"/>
    <w:rsid w:val="1205BCAE"/>
    <w:rsid w:val="1228DA99"/>
    <w:rsid w:val="1247118E"/>
    <w:rsid w:val="124E956A"/>
    <w:rsid w:val="12964920"/>
    <w:rsid w:val="129A0245"/>
    <w:rsid w:val="129E4473"/>
    <w:rsid w:val="13394B35"/>
    <w:rsid w:val="136FB924"/>
    <w:rsid w:val="13BD714E"/>
    <w:rsid w:val="13F598B9"/>
    <w:rsid w:val="142739D2"/>
    <w:rsid w:val="146D1AA8"/>
    <w:rsid w:val="148EA3DC"/>
    <w:rsid w:val="149A3F38"/>
    <w:rsid w:val="14ADCE2E"/>
    <w:rsid w:val="14CD693D"/>
    <w:rsid w:val="14CF1835"/>
    <w:rsid w:val="14E86F9D"/>
    <w:rsid w:val="1504CB07"/>
    <w:rsid w:val="150E7FC7"/>
    <w:rsid w:val="1550DD61"/>
    <w:rsid w:val="156DDAE3"/>
    <w:rsid w:val="15CDE9E2"/>
    <w:rsid w:val="160AF6F3"/>
    <w:rsid w:val="162F36B6"/>
    <w:rsid w:val="16A3FAA0"/>
    <w:rsid w:val="16B63C47"/>
    <w:rsid w:val="16D2AF6F"/>
    <w:rsid w:val="16E44347"/>
    <w:rsid w:val="170511B2"/>
    <w:rsid w:val="176EB35B"/>
    <w:rsid w:val="178B9AA2"/>
    <w:rsid w:val="17982B22"/>
    <w:rsid w:val="17ABF2E1"/>
    <w:rsid w:val="187AD81E"/>
    <w:rsid w:val="18836A4C"/>
    <w:rsid w:val="18861E47"/>
    <w:rsid w:val="18B77EF2"/>
    <w:rsid w:val="18FAAAF5"/>
    <w:rsid w:val="1926C325"/>
    <w:rsid w:val="196192AE"/>
    <w:rsid w:val="196203F3"/>
    <w:rsid w:val="199C2727"/>
    <w:rsid w:val="19A32A62"/>
    <w:rsid w:val="19D7FCFB"/>
    <w:rsid w:val="19E1428F"/>
    <w:rsid w:val="1A0C3F87"/>
    <w:rsid w:val="1B3E59B9"/>
    <w:rsid w:val="1B64CFE3"/>
    <w:rsid w:val="1B6B616B"/>
    <w:rsid w:val="1B76ED9C"/>
    <w:rsid w:val="1BAB9B6D"/>
    <w:rsid w:val="1BECCF8B"/>
    <w:rsid w:val="1BF30E68"/>
    <w:rsid w:val="1C2E90A2"/>
    <w:rsid w:val="1C77408A"/>
    <w:rsid w:val="1C7DDEE9"/>
    <w:rsid w:val="1C847273"/>
    <w:rsid w:val="1C8E3298"/>
    <w:rsid w:val="1C990EF6"/>
    <w:rsid w:val="1D0669F5"/>
    <w:rsid w:val="1D1930C2"/>
    <w:rsid w:val="1D231AD9"/>
    <w:rsid w:val="1D2D238D"/>
    <w:rsid w:val="1D2D73AD"/>
    <w:rsid w:val="1D4FB96B"/>
    <w:rsid w:val="1D955FDF"/>
    <w:rsid w:val="1DDEE092"/>
    <w:rsid w:val="1DF8C065"/>
    <w:rsid w:val="1E414ECD"/>
    <w:rsid w:val="1EAA4C9F"/>
    <w:rsid w:val="1F2D7627"/>
    <w:rsid w:val="1F83EF4E"/>
    <w:rsid w:val="1FCBB4A3"/>
    <w:rsid w:val="1FCF75C8"/>
    <w:rsid w:val="1FD522D8"/>
    <w:rsid w:val="2014E3E9"/>
    <w:rsid w:val="201DB8A9"/>
    <w:rsid w:val="2022389F"/>
    <w:rsid w:val="20248EDF"/>
    <w:rsid w:val="20258791"/>
    <w:rsid w:val="202B3C49"/>
    <w:rsid w:val="20459569"/>
    <w:rsid w:val="20604C71"/>
    <w:rsid w:val="20BCB1A8"/>
    <w:rsid w:val="213F52C7"/>
    <w:rsid w:val="215959E8"/>
    <w:rsid w:val="215DE039"/>
    <w:rsid w:val="21675D90"/>
    <w:rsid w:val="216BEEA0"/>
    <w:rsid w:val="21777DCC"/>
    <w:rsid w:val="217841C2"/>
    <w:rsid w:val="21989CF9"/>
    <w:rsid w:val="21AC5F66"/>
    <w:rsid w:val="22275BF0"/>
    <w:rsid w:val="22381D36"/>
    <w:rsid w:val="22502137"/>
    <w:rsid w:val="22D35A25"/>
    <w:rsid w:val="22D93896"/>
    <w:rsid w:val="23032DF1"/>
    <w:rsid w:val="2306F3D9"/>
    <w:rsid w:val="2318CAB0"/>
    <w:rsid w:val="238592F0"/>
    <w:rsid w:val="239B9D9B"/>
    <w:rsid w:val="23AA2B53"/>
    <w:rsid w:val="23B51292"/>
    <w:rsid w:val="23D900D9"/>
    <w:rsid w:val="2451E963"/>
    <w:rsid w:val="24B90FF0"/>
    <w:rsid w:val="24C4ABB7"/>
    <w:rsid w:val="24D5639C"/>
    <w:rsid w:val="251D0349"/>
    <w:rsid w:val="254DB1BB"/>
    <w:rsid w:val="2597A58D"/>
    <w:rsid w:val="25A6BADA"/>
    <w:rsid w:val="25EBFB32"/>
    <w:rsid w:val="25F6FB95"/>
    <w:rsid w:val="263993ED"/>
    <w:rsid w:val="2693D063"/>
    <w:rsid w:val="26AEADE3"/>
    <w:rsid w:val="26B3282B"/>
    <w:rsid w:val="27598699"/>
    <w:rsid w:val="276D3196"/>
    <w:rsid w:val="27B74FAD"/>
    <w:rsid w:val="289F41F6"/>
    <w:rsid w:val="28DE530B"/>
    <w:rsid w:val="28F8F320"/>
    <w:rsid w:val="29A2D174"/>
    <w:rsid w:val="29DB3E9C"/>
    <w:rsid w:val="29E58AE3"/>
    <w:rsid w:val="2A465165"/>
    <w:rsid w:val="2AAC9F20"/>
    <w:rsid w:val="2B4478C6"/>
    <w:rsid w:val="2B50E53A"/>
    <w:rsid w:val="2B865A1F"/>
    <w:rsid w:val="2B92E3AE"/>
    <w:rsid w:val="2B946C49"/>
    <w:rsid w:val="2C16131F"/>
    <w:rsid w:val="2C486F81"/>
    <w:rsid w:val="2C577CE8"/>
    <w:rsid w:val="2C5B0479"/>
    <w:rsid w:val="2C7B63D2"/>
    <w:rsid w:val="2C7F000A"/>
    <w:rsid w:val="2CD7472F"/>
    <w:rsid w:val="2D3FE3C2"/>
    <w:rsid w:val="2DAD5FD9"/>
    <w:rsid w:val="2E33B1D9"/>
    <w:rsid w:val="2E5CCF6C"/>
    <w:rsid w:val="2E9F6284"/>
    <w:rsid w:val="2EE492B7"/>
    <w:rsid w:val="2F110134"/>
    <w:rsid w:val="2F331F75"/>
    <w:rsid w:val="2F92A53B"/>
    <w:rsid w:val="2F9C846B"/>
    <w:rsid w:val="2FDEECF6"/>
    <w:rsid w:val="2FF2B235"/>
    <w:rsid w:val="303A61A2"/>
    <w:rsid w:val="306E7A27"/>
    <w:rsid w:val="30C98E0A"/>
    <w:rsid w:val="30D832AA"/>
    <w:rsid w:val="30DBD34B"/>
    <w:rsid w:val="3128C431"/>
    <w:rsid w:val="3149531C"/>
    <w:rsid w:val="31722FC0"/>
    <w:rsid w:val="319E4D3F"/>
    <w:rsid w:val="31D833AD"/>
    <w:rsid w:val="320C9B85"/>
    <w:rsid w:val="327E24C2"/>
    <w:rsid w:val="328C4ABA"/>
    <w:rsid w:val="32F82C40"/>
    <w:rsid w:val="33C01016"/>
    <w:rsid w:val="33E47257"/>
    <w:rsid w:val="34101346"/>
    <w:rsid w:val="34824B6A"/>
    <w:rsid w:val="3484D873"/>
    <w:rsid w:val="34BD7209"/>
    <w:rsid w:val="34DB7FAB"/>
    <w:rsid w:val="350E23CC"/>
    <w:rsid w:val="3513FDB1"/>
    <w:rsid w:val="3516A6A7"/>
    <w:rsid w:val="36721A4F"/>
    <w:rsid w:val="36BE2EF4"/>
    <w:rsid w:val="3719011A"/>
    <w:rsid w:val="37220FBC"/>
    <w:rsid w:val="3747742E"/>
    <w:rsid w:val="37522B5F"/>
    <w:rsid w:val="37C6E79E"/>
    <w:rsid w:val="3833499B"/>
    <w:rsid w:val="3865BCBE"/>
    <w:rsid w:val="38E8D298"/>
    <w:rsid w:val="39245E2A"/>
    <w:rsid w:val="3A506843"/>
    <w:rsid w:val="3A985FB6"/>
    <w:rsid w:val="3AD70D05"/>
    <w:rsid w:val="3B0BF30E"/>
    <w:rsid w:val="3B173D1C"/>
    <w:rsid w:val="3B805A29"/>
    <w:rsid w:val="3B9A165B"/>
    <w:rsid w:val="3B9D5D80"/>
    <w:rsid w:val="3BC3D295"/>
    <w:rsid w:val="3C535ECD"/>
    <w:rsid w:val="3CE7E81F"/>
    <w:rsid w:val="3CF3BB65"/>
    <w:rsid w:val="3D2F3DDE"/>
    <w:rsid w:val="3D80B94A"/>
    <w:rsid w:val="3DBF5C49"/>
    <w:rsid w:val="3DE35A01"/>
    <w:rsid w:val="3E0501A0"/>
    <w:rsid w:val="3E569564"/>
    <w:rsid w:val="3E910738"/>
    <w:rsid w:val="3ED4FE42"/>
    <w:rsid w:val="3EFA14E9"/>
    <w:rsid w:val="3F09AB4A"/>
    <w:rsid w:val="3F97C7D1"/>
    <w:rsid w:val="3FEAECE0"/>
    <w:rsid w:val="401BD409"/>
    <w:rsid w:val="4032FF90"/>
    <w:rsid w:val="4058F304"/>
    <w:rsid w:val="4078BC29"/>
    <w:rsid w:val="40EC4B2A"/>
    <w:rsid w:val="413C0437"/>
    <w:rsid w:val="419658FF"/>
    <w:rsid w:val="41F13916"/>
    <w:rsid w:val="4208D4A9"/>
    <w:rsid w:val="420F71AA"/>
    <w:rsid w:val="421F6C39"/>
    <w:rsid w:val="4221B861"/>
    <w:rsid w:val="4226A9B7"/>
    <w:rsid w:val="425C10FB"/>
    <w:rsid w:val="42BE4510"/>
    <w:rsid w:val="42CF2D22"/>
    <w:rsid w:val="42DEF41A"/>
    <w:rsid w:val="4333B1D2"/>
    <w:rsid w:val="4395DB93"/>
    <w:rsid w:val="43A8100B"/>
    <w:rsid w:val="4425F2AD"/>
    <w:rsid w:val="4425F736"/>
    <w:rsid w:val="44BC2C8F"/>
    <w:rsid w:val="44C591CD"/>
    <w:rsid w:val="45487762"/>
    <w:rsid w:val="4560B3EE"/>
    <w:rsid w:val="45727642"/>
    <w:rsid w:val="45A33224"/>
    <w:rsid w:val="45AB3A25"/>
    <w:rsid w:val="45E679C4"/>
    <w:rsid w:val="462A8454"/>
    <w:rsid w:val="4664E3FC"/>
    <w:rsid w:val="46652DCD"/>
    <w:rsid w:val="46767C41"/>
    <w:rsid w:val="4682CD5F"/>
    <w:rsid w:val="46C8057D"/>
    <w:rsid w:val="46D90AE1"/>
    <w:rsid w:val="470BCD7C"/>
    <w:rsid w:val="4715FBC7"/>
    <w:rsid w:val="473ED7CB"/>
    <w:rsid w:val="475CD474"/>
    <w:rsid w:val="47FDC534"/>
    <w:rsid w:val="47FDD64F"/>
    <w:rsid w:val="485E5E5A"/>
    <w:rsid w:val="487C580E"/>
    <w:rsid w:val="48DCF2EF"/>
    <w:rsid w:val="48E046A6"/>
    <w:rsid w:val="48E427D1"/>
    <w:rsid w:val="494FE58D"/>
    <w:rsid w:val="4964704A"/>
    <w:rsid w:val="499E72DE"/>
    <w:rsid w:val="4A248640"/>
    <w:rsid w:val="4A4B6558"/>
    <w:rsid w:val="4A5749CA"/>
    <w:rsid w:val="4A96B686"/>
    <w:rsid w:val="4AC9BE20"/>
    <w:rsid w:val="4AD4FA21"/>
    <w:rsid w:val="4B1AAE96"/>
    <w:rsid w:val="4B3C5F0F"/>
    <w:rsid w:val="4B882552"/>
    <w:rsid w:val="4B8ECE51"/>
    <w:rsid w:val="4BB3C388"/>
    <w:rsid w:val="4BC212B3"/>
    <w:rsid w:val="4C02F341"/>
    <w:rsid w:val="4CBE3856"/>
    <w:rsid w:val="4CD10003"/>
    <w:rsid w:val="4D93150B"/>
    <w:rsid w:val="4DE00979"/>
    <w:rsid w:val="4E015EE2"/>
    <w:rsid w:val="4E3C55EE"/>
    <w:rsid w:val="4E6816D9"/>
    <w:rsid w:val="4EA107D0"/>
    <w:rsid w:val="4F0C0D7D"/>
    <w:rsid w:val="4F15D488"/>
    <w:rsid w:val="4F2ABAED"/>
    <w:rsid w:val="4F641A85"/>
    <w:rsid w:val="50113E33"/>
    <w:rsid w:val="50181EAD"/>
    <w:rsid w:val="50572F07"/>
    <w:rsid w:val="50B884E5"/>
    <w:rsid w:val="50E26120"/>
    <w:rsid w:val="5157A5C1"/>
    <w:rsid w:val="519383DD"/>
    <w:rsid w:val="51B767E0"/>
    <w:rsid w:val="51DB3841"/>
    <w:rsid w:val="520DC649"/>
    <w:rsid w:val="521E2210"/>
    <w:rsid w:val="5223EF0A"/>
    <w:rsid w:val="52A2F7FD"/>
    <w:rsid w:val="52B9665A"/>
    <w:rsid w:val="52C9568D"/>
    <w:rsid w:val="52EBB6BF"/>
    <w:rsid w:val="530B557B"/>
    <w:rsid w:val="537EF8BA"/>
    <w:rsid w:val="53D1FF8C"/>
    <w:rsid w:val="540BC811"/>
    <w:rsid w:val="543F6107"/>
    <w:rsid w:val="54C53724"/>
    <w:rsid w:val="5550B387"/>
    <w:rsid w:val="55660380"/>
    <w:rsid w:val="558CF0B8"/>
    <w:rsid w:val="55FB35F0"/>
    <w:rsid w:val="56D3A3B5"/>
    <w:rsid w:val="5700F5B2"/>
    <w:rsid w:val="571F7898"/>
    <w:rsid w:val="576BC4F4"/>
    <w:rsid w:val="57C0D4A2"/>
    <w:rsid w:val="57C1538B"/>
    <w:rsid w:val="57E9CF52"/>
    <w:rsid w:val="582320A6"/>
    <w:rsid w:val="583C5934"/>
    <w:rsid w:val="58464CC8"/>
    <w:rsid w:val="58521613"/>
    <w:rsid w:val="5870B7F9"/>
    <w:rsid w:val="5880E691"/>
    <w:rsid w:val="588CC8ED"/>
    <w:rsid w:val="588EF125"/>
    <w:rsid w:val="58AC6BF2"/>
    <w:rsid w:val="58D8ECDA"/>
    <w:rsid w:val="58DF9D5C"/>
    <w:rsid w:val="58F2738D"/>
    <w:rsid w:val="58F2FB4A"/>
    <w:rsid w:val="58F8013A"/>
    <w:rsid w:val="5958C29E"/>
    <w:rsid w:val="599A4D94"/>
    <w:rsid w:val="59E22A6F"/>
    <w:rsid w:val="59EA8F8C"/>
    <w:rsid w:val="5A4A324C"/>
    <w:rsid w:val="5B04402B"/>
    <w:rsid w:val="5B3317C9"/>
    <w:rsid w:val="5B7DAB84"/>
    <w:rsid w:val="5B81F9FC"/>
    <w:rsid w:val="5C038167"/>
    <w:rsid w:val="5C0A63B3"/>
    <w:rsid w:val="5C10FB08"/>
    <w:rsid w:val="5C28815B"/>
    <w:rsid w:val="5C43C7B8"/>
    <w:rsid w:val="5C54F3E4"/>
    <w:rsid w:val="5C568A2A"/>
    <w:rsid w:val="5C68355C"/>
    <w:rsid w:val="5C76FB73"/>
    <w:rsid w:val="5C8C3500"/>
    <w:rsid w:val="5C8DC3C9"/>
    <w:rsid w:val="5CA2E4AF"/>
    <w:rsid w:val="5CD642E8"/>
    <w:rsid w:val="5D619091"/>
    <w:rsid w:val="5D658F7A"/>
    <w:rsid w:val="5DB5DB54"/>
    <w:rsid w:val="5DFA3719"/>
    <w:rsid w:val="5E0E6B81"/>
    <w:rsid w:val="5E28A6DB"/>
    <w:rsid w:val="5E52F10D"/>
    <w:rsid w:val="5E5AB6FC"/>
    <w:rsid w:val="5EE2E6B5"/>
    <w:rsid w:val="5EE842E7"/>
    <w:rsid w:val="5EF7F885"/>
    <w:rsid w:val="5EFEB38A"/>
    <w:rsid w:val="5F158FF1"/>
    <w:rsid w:val="5FCA666B"/>
    <w:rsid w:val="5FD2CF24"/>
    <w:rsid w:val="5FEAA5D7"/>
    <w:rsid w:val="609A7CB5"/>
    <w:rsid w:val="60C8372B"/>
    <w:rsid w:val="61192E2B"/>
    <w:rsid w:val="6131C005"/>
    <w:rsid w:val="61467DC6"/>
    <w:rsid w:val="61DCFC49"/>
    <w:rsid w:val="61EB5D05"/>
    <w:rsid w:val="62289527"/>
    <w:rsid w:val="62904615"/>
    <w:rsid w:val="6292A25A"/>
    <w:rsid w:val="62A4721F"/>
    <w:rsid w:val="62D6E237"/>
    <w:rsid w:val="6304BB04"/>
    <w:rsid w:val="630A194F"/>
    <w:rsid w:val="631B6EB4"/>
    <w:rsid w:val="639BC145"/>
    <w:rsid w:val="63A72526"/>
    <w:rsid w:val="63AC89A5"/>
    <w:rsid w:val="63B4E3DB"/>
    <w:rsid w:val="63D21D77"/>
    <w:rsid w:val="63E78633"/>
    <w:rsid w:val="6473480B"/>
    <w:rsid w:val="64D13961"/>
    <w:rsid w:val="64DA0F4D"/>
    <w:rsid w:val="651D70DB"/>
    <w:rsid w:val="652E6087"/>
    <w:rsid w:val="654C5A20"/>
    <w:rsid w:val="658FB946"/>
    <w:rsid w:val="65A3275C"/>
    <w:rsid w:val="65CE14A1"/>
    <w:rsid w:val="6673B93A"/>
    <w:rsid w:val="66CCBDA4"/>
    <w:rsid w:val="66EEE13C"/>
    <w:rsid w:val="67AE5960"/>
    <w:rsid w:val="67DC6758"/>
    <w:rsid w:val="67F82141"/>
    <w:rsid w:val="6855767C"/>
    <w:rsid w:val="68FD2BED"/>
    <w:rsid w:val="6915252B"/>
    <w:rsid w:val="6929AD94"/>
    <w:rsid w:val="6935385B"/>
    <w:rsid w:val="6943A6A2"/>
    <w:rsid w:val="69583D15"/>
    <w:rsid w:val="69665BE5"/>
    <w:rsid w:val="69774BF3"/>
    <w:rsid w:val="698727E8"/>
    <w:rsid w:val="69A7E76D"/>
    <w:rsid w:val="6A3E372E"/>
    <w:rsid w:val="6A92F9CD"/>
    <w:rsid w:val="6AE2898F"/>
    <w:rsid w:val="6B5F7EF8"/>
    <w:rsid w:val="6B66A0B2"/>
    <w:rsid w:val="6BD3286A"/>
    <w:rsid w:val="6BEB022F"/>
    <w:rsid w:val="6BFF34D0"/>
    <w:rsid w:val="6C0E7F44"/>
    <w:rsid w:val="6C76B57A"/>
    <w:rsid w:val="6C943E8D"/>
    <w:rsid w:val="6CA17D55"/>
    <w:rsid w:val="6CA9289D"/>
    <w:rsid w:val="6CCA687A"/>
    <w:rsid w:val="6D16DB84"/>
    <w:rsid w:val="6DF05C41"/>
    <w:rsid w:val="6E1285DB"/>
    <w:rsid w:val="6E517CE4"/>
    <w:rsid w:val="6E53A5C1"/>
    <w:rsid w:val="6E9D7F60"/>
    <w:rsid w:val="6F066010"/>
    <w:rsid w:val="6F23C069"/>
    <w:rsid w:val="6F7A90B8"/>
    <w:rsid w:val="6FEB22AD"/>
    <w:rsid w:val="701874BA"/>
    <w:rsid w:val="702AE0C0"/>
    <w:rsid w:val="708CB43D"/>
    <w:rsid w:val="7091D5B4"/>
    <w:rsid w:val="70B6EF08"/>
    <w:rsid w:val="71234B3E"/>
    <w:rsid w:val="7131BF40"/>
    <w:rsid w:val="715E3B56"/>
    <w:rsid w:val="7166124C"/>
    <w:rsid w:val="71B27D9E"/>
    <w:rsid w:val="71B4451B"/>
    <w:rsid w:val="71BFD254"/>
    <w:rsid w:val="71F00D2A"/>
    <w:rsid w:val="720EB000"/>
    <w:rsid w:val="72A25EA9"/>
    <w:rsid w:val="730FE3E6"/>
    <w:rsid w:val="7315A1D7"/>
    <w:rsid w:val="73186A21"/>
    <w:rsid w:val="7345F56A"/>
    <w:rsid w:val="73810475"/>
    <w:rsid w:val="73C62534"/>
    <w:rsid w:val="73E0CF19"/>
    <w:rsid w:val="74497FE1"/>
    <w:rsid w:val="74580E89"/>
    <w:rsid w:val="75D0D717"/>
    <w:rsid w:val="76106BCB"/>
    <w:rsid w:val="761C8032"/>
    <w:rsid w:val="7628BDA0"/>
    <w:rsid w:val="76500AE3"/>
    <w:rsid w:val="767EA120"/>
    <w:rsid w:val="7698AD97"/>
    <w:rsid w:val="76E02EAF"/>
    <w:rsid w:val="773EB326"/>
    <w:rsid w:val="77A608CF"/>
    <w:rsid w:val="77AB991B"/>
    <w:rsid w:val="77CC3776"/>
    <w:rsid w:val="781A5AF5"/>
    <w:rsid w:val="782177C9"/>
    <w:rsid w:val="78547598"/>
    <w:rsid w:val="7855C294"/>
    <w:rsid w:val="788BE91A"/>
    <w:rsid w:val="78B38C7D"/>
    <w:rsid w:val="78D29A31"/>
    <w:rsid w:val="78DCFC3E"/>
    <w:rsid w:val="79052329"/>
    <w:rsid w:val="7987ABA5"/>
    <w:rsid w:val="79B31648"/>
    <w:rsid w:val="79BB1947"/>
    <w:rsid w:val="7A1E433A"/>
    <w:rsid w:val="7ACB5650"/>
    <w:rsid w:val="7B1A1C7D"/>
    <w:rsid w:val="7B33D17E"/>
    <w:rsid w:val="7C03360D"/>
    <w:rsid w:val="7C9387B6"/>
    <w:rsid w:val="7CF37F61"/>
    <w:rsid w:val="7D65971F"/>
    <w:rsid w:val="7D718E1A"/>
    <w:rsid w:val="7D86C62F"/>
    <w:rsid w:val="7D98AE70"/>
    <w:rsid w:val="7DAA2141"/>
    <w:rsid w:val="7DACC7FF"/>
    <w:rsid w:val="7DE70C6F"/>
    <w:rsid w:val="7DEA741A"/>
    <w:rsid w:val="7E2A98A5"/>
    <w:rsid w:val="7E51F15C"/>
    <w:rsid w:val="7E630A4E"/>
    <w:rsid w:val="7E925C11"/>
    <w:rsid w:val="7EA5C7D0"/>
    <w:rsid w:val="7EB583DA"/>
    <w:rsid w:val="7EBB0A7C"/>
    <w:rsid w:val="7F0AE8B1"/>
    <w:rsid w:val="7F489860"/>
    <w:rsid w:val="7F5E8ABC"/>
    <w:rsid w:val="7F81FF72"/>
    <w:rsid w:val="7FDA76FC"/>
    <w:rsid w:val="7FF06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37A8"/>
  <w15:docId w15:val="{90D15658-8398-4566-AAEC-BDF21BCD19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7546"/>
    <w:pPr>
      <w:jc w:val="both"/>
    </w:pPr>
    <w:rPr>
      <w:rFonts w:ascii="Arial" w:hAnsi="Arial" w:cs="Arial"/>
    </w:rPr>
  </w:style>
  <w:style w:type="paragraph" w:styleId="Heading1">
    <w:name w:val="heading 1"/>
    <w:basedOn w:val="Normal"/>
    <w:next w:val="Normal"/>
    <w:link w:val="Heading1Char"/>
    <w:uiPriority w:val="9"/>
    <w:qFormat/>
    <w:rsid w:val="000B01C1"/>
    <w:pPr>
      <w:keepNext/>
      <w:keepLines/>
      <w:spacing w:before="400" w:after="40" w:line="240" w:lineRule="auto"/>
      <w:outlineLvl w:val="0"/>
    </w:pPr>
    <w:rPr>
      <w:rFonts w:eastAsiaTheme="majorEastAsia"/>
      <w:b/>
      <w:bCs/>
      <w:color w:val="244061" w:themeColor="accent1" w:themeShade="80"/>
      <w:sz w:val="28"/>
      <w:szCs w:val="28"/>
    </w:rPr>
  </w:style>
  <w:style w:type="paragraph" w:styleId="Heading2">
    <w:name w:val="heading 2"/>
    <w:basedOn w:val="Normal"/>
    <w:next w:val="Normal"/>
    <w:link w:val="Heading2Char"/>
    <w:uiPriority w:val="9"/>
    <w:unhideWhenUsed/>
    <w:qFormat/>
    <w:rsid w:val="00877546"/>
    <w:pPr>
      <w:outlineLvl w:val="1"/>
    </w:pPr>
    <w:rPr>
      <w:b/>
      <w:iCs/>
    </w:rPr>
  </w:style>
  <w:style w:type="paragraph" w:styleId="Heading3">
    <w:name w:val="heading 3"/>
    <w:basedOn w:val="Heading4"/>
    <w:next w:val="Normal"/>
    <w:link w:val="Heading3Char"/>
    <w:uiPriority w:val="9"/>
    <w:unhideWhenUsed/>
    <w:qFormat/>
    <w:rsid w:val="00542AA4"/>
    <w:pPr>
      <w:outlineLvl w:val="2"/>
    </w:pPr>
    <w:rPr>
      <w:rFonts w:ascii="Arial" w:hAnsi="Arial" w:cs="Arial"/>
      <w:b/>
      <w:bCs/>
      <w:color w:val="4F81BD" w:themeColor="accent1"/>
      <w:sz w:val="22"/>
      <w:szCs w:val="22"/>
    </w:rPr>
  </w:style>
  <w:style w:type="paragraph" w:styleId="Heading4">
    <w:name w:val="heading 4"/>
    <w:basedOn w:val="Normal"/>
    <w:next w:val="Normal"/>
    <w:link w:val="Heading4Char"/>
    <w:uiPriority w:val="9"/>
    <w:unhideWhenUsed/>
    <w:qFormat/>
    <w:rsid w:val="00FD4350"/>
    <w:pPr>
      <w:keepNext/>
      <w:keepLines/>
      <w:spacing w:before="40" w:after="0"/>
      <w:outlineLvl w:val="3"/>
    </w:pPr>
    <w:rPr>
      <w:rFonts w:asciiTheme="majorHAnsi" w:hAnsiTheme="majorHAnsi" w:eastAsiaTheme="majorEastAsia"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FD4350"/>
    <w:pPr>
      <w:keepNext/>
      <w:keepLines/>
      <w:spacing w:before="40" w:after="0"/>
      <w:outlineLvl w:val="4"/>
    </w:pPr>
    <w:rPr>
      <w:rFonts w:asciiTheme="majorHAnsi" w:hAnsiTheme="majorHAnsi" w:eastAsiaTheme="majorEastAsia" w:cstheme="majorBidi"/>
      <w:caps/>
      <w:color w:val="365F91" w:themeColor="accent1" w:themeShade="BF"/>
    </w:rPr>
  </w:style>
  <w:style w:type="paragraph" w:styleId="Heading6">
    <w:name w:val="heading 6"/>
    <w:basedOn w:val="Normal"/>
    <w:next w:val="Normal"/>
    <w:link w:val="Heading6Char"/>
    <w:uiPriority w:val="9"/>
    <w:unhideWhenUsed/>
    <w:qFormat/>
    <w:rsid w:val="00FD4350"/>
    <w:pPr>
      <w:keepNext/>
      <w:keepLines/>
      <w:spacing w:before="40" w:after="0"/>
      <w:outlineLvl w:val="5"/>
    </w:pPr>
    <w:rPr>
      <w:rFonts w:asciiTheme="majorHAnsi" w:hAnsiTheme="majorHAnsi" w:eastAsiaTheme="majorEastAsia"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D4350"/>
    <w:pPr>
      <w:keepNext/>
      <w:keepLines/>
      <w:spacing w:before="40" w:after="0"/>
      <w:outlineLvl w:val="6"/>
    </w:pPr>
    <w:rPr>
      <w:rFonts w:asciiTheme="majorHAnsi" w:hAnsiTheme="majorHAnsi" w:eastAsiaTheme="majorEastAsia" w:cstheme="majorBidi"/>
      <w:b/>
      <w:bCs/>
      <w:color w:val="244061" w:themeColor="accent1" w:themeShade="80"/>
    </w:rPr>
  </w:style>
  <w:style w:type="paragraph" w:styleId="Heading8">
    <w:name w:val="heading 8"/>
    <w:basedOn w:val="Normal"/>
    <w:next w:val="Normal"/>
    <w:link w:val="Heading8Char"/>
    <w:uiPriority w:val="9"/>
    <w:semiHidden/>
    <w:unhideWhenUsed/>
    <w:qFormat/>
    <w:rsid w:val="00FD4350"/>
    <w:pPr>
      <w:keepNext/>
      <w:keepLines/>
      <w:spacing w:before="40" w:after="0"/>
      <w:outlineLvl w:val="7"/>
    </w:pPr>
    <w:rPr>
      <w:rFonts w:asciiTheme="majorHAnsi" w:hAnsiTheme="majorHAnsi" w:eastAsiaTheme="majorEastAsia"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D4350"/>
    <w:pPr>
      <w:keepNext/>
      <w:keepLines/>
      <w:spacing w:before="40" w:after="0"/>
      <w:outlineLvl w:val="8"/>
    </w:pPr>
    <w:rPr>
      <w:rFonts w:asciiTheme="majorHAnsi" w:hAnsiTheme="majorHAnsi" w:eastAsiaTheme="majorEastAsia" w:cstheme="majorBidi"/>
      <w:i/>
      <w:iCs/>
      <w:color w:val="24406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D4350"/>
    <w:pPr>
      <w:spacing w:after="0" w:line="204" w:lineRule="auto"/>
      <w:contextualSpacing/>
    </w:pPr>
    <w:rPr>
      <w:rFonts w:asciiTheme="majorHAnsi" w:hAnsiTheme="majorHAnsi" w:eastAsiaTheme="majorEastAsia" w:cstheme="majorBidi"/>
      <w:caps/>
      <w:color w:val="1F497D" w:themeColor="text2"/>
      <w:spacing w:val="-15"/>
      <w:sz w:val="72"/>
      <w:szCs w:val="72"/>
    </w:rPr>
  </w:style>
  <w:style w:type="paragraph" w:styleId="Subtitle">
    <w:name w:val="Subtitle"/>
    <w:basedOn w:val="Normal"/>
    <w:next w:val="Normal"/>
    <w:link w:val="SubtitleChar"/>
    <w:uiPriority w:val="11"/>
    <w:qFormat/>
    <w:rsid w:val="00FD4350"/>
    <w:pPr>
      <w:numPr>
        <w:ilvl w:val="1"/>
      </w:numPr>
      <w:spacing w:after="240" w:line="240" w:lineRule="auto"/>
    </w:pPr>
    <w:rPr>
      <w:rFonts w:asciiTheme="majorHAnsi" w:hAnsiTheme="majorHAnsi" w:eastAsiaTheme="majorEastAsia" w:cstheme="majorBidi"/>
      <w:color w:val="4F81BD" w:themeColor="accent1"/>
      <w:sz w:val="28"/>
      <w:szCs w:val="2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unhideWhenUsed/>
    <w:rsid w:val="00E337B1"/>
    <w:pPr>
      <w:spacing w:line="240" w:lineRule="auto"/>
    </w:pPr>
    <w:rPr>
      <w:sz w:val="20"/>
      <w:szCs w:val="20"/>
    </w:rPr>
  </w:style>
  <w:style w:type="character" w:styleId="CommentTextChar" w:customStyle="1">
    <w:name w:val="Comment Text Char"/>
    <w:basedOn w:val="DefaultParagraphFont"/>
    <w:link w:val="CommentText"/>
    <w:uiPriority w:val="99"/>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styleId="CommentSubjectChar" w:customStyle="1">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line="240" w:lineRule="auto"/>
    </w:pPr>
  </w:style>
  <w:style w:type="paragraph" w:styleId="Header">
    <w:name w:val="header"/>
    <w:basedOn w:val="Normal"/>
    <w:link w:val="HeaderChar"/>
    <w:uiPriority w:val="99"/>
    <w:unhideWhenUsed/>
    <w:rsid w:val="00464E54"/>
    <w:pPr>
      <w:tabs>
        <w:tab w:val="center" w:pos="4513"/>
        <w:tab w:val="right" w:pos="9026"/>
      </w:tabs>
      <w:spacing w:line="240" w:lineRule="auto"/>
    </w:pPr>
  </w:style>
  <w:style w:type="character" w:styleId="HeaderChar" w:customStyle="1">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line="240" w:lineRule="auto"/>
    </w:pPr>
  </w:style>
  <w:style w:type="character" w:styleId="FooterChar" w:customStyle="1">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 w:type="paragraph" w:styleId="TOCHeading">
    <w:name w:val="TOC Heading"/>
    <w:basedOn w:val="Heading1"/>
    <w:next w:val="Normal"/>
    <w:uiPriority w:val="39"/>
    <w:unhideWhenUsed/>
    <w:qFormat/>
    <w:rsid w:val="00FD4350"/>
    <w:pPr>
      <w:outlineLvl w:val="9"/>
    </w:pPr>
  </w:style>
  <w:style w:type="paragraph" w:styleId="TOC2">
    <w:name w:val="toc 2"/>
    <w:basedOn w:val="Normal"/>
    <w:next w:val="Normal"/>
    <w:autoRedefine/>
    <w:uiPriority w:val="39"/>
    <w:unhideWhenUsed/>
    <w:rsid w:val="00A35C4D"/>
    <w:pPr>
      <w:tabs>
        <w:tab w:val="left" w:pos="880"/>
        <w:tab w:val="right" w:leader="dot" w:pos="9350"/>
      </w:tabs>
      <w:spacing w:after="100"/>
      <w:ind w:left="220"/>
    </w:pPr>
    <w:rPr>
      <w:b/>
      <w:bCs/>
      <w:noProof/>
      <w:color w:val="0F243E" w:themeColor="text2" w:themeShade="80"/>
    </w:rPr>
  </w:style>
  <w:style w:type="paragraph" w:styleId="TOC1">
    <w:name w:val="toc 1"/>
    <w:basedOn w:val="Normal"/>
    <w:next w:val="Normal"/>
    <w:autoRedefine/>
    <w:uiPriority w:val="39"/>
    <w:unhideWhenUsed/>
    <w:rsid w:val="00496234"/>
    <w:pPr>
      <w:tabs>
        <w:tab w:val="left" w:pos="440"/>
        <w:tab w:val="right" w:leader="dot" w:pos="9350"/>
      </w:tabs>
      <w:spacing w:after="100"/>
    </w:pPr>
    <w:rPr>
      <w:b/>
      <w:bCs/>
      <w:iCs/>
      <w:noProof/>
      <w:color w:val="000000" w:themeColor="text1"/>
    </w:rPr>
  </w:style>
  <w:style w:type="paragraph" w:styleId="TOC3">
    <w:name w:val="toc 3"/>
    <w:basedOn w:val="Normal"/>
    <w:next w:val="Normal"/>
    <w:autoRedefine/>
    <w:uiPriority w:val="39"/>
    <w:unhideWhenUsed/>
    <w:rsid w:val="00CD3EDD"/>
    <w:pPr>
      <w:tabs>
        <w:tab w:val="left" w:pos="1320"/>
        <w:tab w:val="right" w:leader="dot" w:pos="9350"/>
      </w:tabs>
      <w:spacing w:after="100"/>
      <w:ind w:left="440"/>
    </w:pPr>
  </w:style>
  <w:style w:type="character" w:styleId="Heading1Char" w:customStyle="1">
    <w:name w:val="Heading 1 Char"/>
    <w:basedOn w:val="DefaultParagraphFont"/>
    <w:link w:val="Heading1"/>
    <w:uiPriority w:val="9"/>
    <w:rsid w:val="000B01C1"/>
    <w:rPr>
      <w:rFonts w:ascii="Arial" w:hAnsi="Arial" w:cs="Arial" w:eastAsiaTheme="majorEastAsia"/>
      <w:b/>
      <w:bCs/>
      <w:color w:val="244061" w:themeColor="accent1" w:themeShade="80"/>
      <w:sz w:val="28"/>
      <w:szCs w:val="28"/>
    </w:rPr>
  </w:style>
  <w:style w:type="character" w:styleId="Heading2Char" w:customStyle="1">
    <w:name w:val="Heading 2 Char"/>
    <w:basedOn w:val="DefaultParagraphFont"/>
    <w:link w:val="Heading2"/>
    <w:uiPriority w:val="9"/>
    <w:rsid w:val="00877546"/>
    <w:rPr>
      <w:rFonts w:ascii="Arial" w:hAnsi="Arial" w:cs="Arial"/>
      <w:b/>
      <w:iCs/>
    </w:rPr>
  </w:style>
  <w:style w:type="character" w:styleId="Heading3Char" w:customStyle="1">
    <w:name w:val="Heading 3 Char"/>
    <w:basedOn w:val="DefaultParagraphFont"/>
    <w:link w:val="Heading3"/>
    <w:uiPriority w:val="9"/>
    <w:rsid w:val="00542AA4"/>
    <w:rPr>
      <w:rFonts w:ascii="Arial" w:hAnsi="Arial" w:cs="Arial" w:eastAsiaTheme="majorEastAsia"/>
      <w:b/>
      <w:bCs/>
      <w:color w:val="4F81BD" w:themeColor="accent1"/>
    </w:rPr>
  </w:style>
  <w:style w:type="character" w:styleId="Heading4Char" w:customStyle="1">
    <w:name w:val="Heading 4 Char"/>
    <w:basedOn w:val="DefaultParagraphFont"/>
    <w:link w:val="Heading4"/>
    <w:uiPriority w:val="9"/>
    <w:rsid w:val="00FD4350"/>
    <w:rPr>
      <w:rFonts w:asciiTheme="majorHAnsi" w:hAnsiTheme="majorHAnsi" w:eastAsiaTheme="majorEastAsia" w:cstheme="majorBidi"/>
      <w:color w:val="365F91" w:themeColor="accent1" w:themeShade="BF"/>
      <w:sz w:val="24"/>
      <w:szCs w:val="24"/>
    </w:rPr>
  </w:style>
  <w:style w:type="character" w:styleId="Heading5Char" w:customStyle="1">
    <w:name w:val="Heading 5 Char"/>
    <w:basedOn w:val="DefaultParagraphFont"/>
    <w:link w:val="Heading5"/>
    <w:uiPriority w:val="9"/>
    <w:rsid w:val="00FD4350"/>
    <w:rPr>
      <w:rFonts w:asciiTheme="majorHAnsi" w:hAnsiTheme="majorHAnsi" w:eastAsiaTheme="majorEastAsia" w:cstheme="majorBidi"/>
      <w:caps/>
      <w:color w:val="365F91" w:themeColor="accent1" w:themeShade="BF"/>
    </w:rPr>
  </w:style>
  <w:style w:type="character" w:styleId="Heading6Char" w:customStyle="1">
    <w:name w:val="Heading 6 Char"/>
    <w:basedOn w:val="DefaultParagraphFont"/>
    <w:link w:val="Heading6"/>
    <w:uiPriority w:val="9"/>
    <w:rsid w:val="00FD4350"/>
    <w:rPr>
      <w:rFonts w:asciiTheme="majorHAnsi" w:hAnsiTheme="majorHAnsi" w:eastAsiaTheme="majorEastAsia" w:cstheme="majorBidi"/>
      <w:i/>
      <w:iCs/>
      <w:caps/>
      <w:color w:val="244061" w:themeColor="accent1" w:themeShade="80"/>
    </w:rPr>
  </w:style>
  <w:style w:type="character" w:styleId="Heading7Char" w:customStyle="1">
    <w:name w:val="Heading 7 Char"/>
    <w:basedOn w:val="DefaultParagraphFont"/>
    <w:link w:val="Heading7"/>
    <w:uiPriority w:val="9"/>
    <w:semiHidden/>
    <w:rsid w:val="00FD4350"/>
    <w:rPr>
      <w:rFonts w:asciiTheme="majorHAnsi" w:hAnsiTheme="majorHAnsi" w:eastAsiaTheme="majorEastAsia" w:cstheme="majorBidi"/>
      <w:b/>
      <w:bCs/>
      <w:color w:val="244061" w:themeColor="accent1" w:themeShade="80"/>
    </w:rPr>
  </w:style>
  <w:style w:type="character" w:styleId="Heading8Char" w:customStyle="1">
    <w:name w:val="Heading 8 Char"/>
    <w:basedOn w:val="DefaultParagraphFont"/>
    <w:link w:val="Heading8"/>
    <w:uiPriority w:val="9"/>
    <w:semiHidden/>
    <w:rsid w:val="00FD4350"/>
    <w:rPr>
      <w:rFonts w:asciiTheme="majorHAnsi" w:hAnsiTheme="majorHAnsi" w:eastAsiaTheme="majorEastAsia" w:cstheme="majorBidi"/>
      <w:b/>
      <w:bCs/>
      <w:i/>
      <w:iCs/>
      <w:color w:val="244061" w:themeColor="accent1" w:themeShade="80"/>
    </w:rPr>
  </w:style>
  <w:style w:type="character" w:styleId="Heading9Char" w:customStyle="1">
    <w:name w:val="Heading 9 Char"/>
    <w:basedOn w:val="DefaultParagraphFont"/>
    <w:link w:val="Heading9"/>
    <w:uiPriority w:val="9"/>
    <w:semiHidden/>
    <w:rsid w:val="00FD4350"/>
    <w:rPr>
      <w:rFonts w:asciiTheme="majorHAnsi" w:hAnsiTheme="majorHAnsi" w:eastAsiaTheme="majorEastAsia" w:cstheme="majorBidi"/>
      <w:i/>
      <w:iCs/>
      <w:color w:val="244061" w:themeColor="accent1" w:themeShade="80"/>
    </w:rPr>
  </w:style>
  <w:style w:type="paragraph" w:styleId="Caption">
    <w:name w:val="caption"/>
    <w:basedOn w:val="Normal"/>
    <w:next w:val="Normal"/>
    <w:uiPriority w:val="35"/>
    <w:semiHidden/>
    <w:unhideWhenUsed/>
    <w:qFormat/>
    <w:rsid w:val="00FD4350"/>
    <w:pPr>
      <w:spacing w:line="240" w:lineRule="auto"/>
    </w:pPr>
    <w:rPr>
      <w:b/>
      <w:bCs/>
      <w:smallCaps/>
      <w:color w:val="1F497D" w:themeColor="text2"/>
    </w:rPr>
  </w:style>
  <w:style w:type="character" w:styleId="TitleChar" w:customStyle="1">
    <w:name w:val="Title Char"/>
    <w:basedOn w:val="DefaultParagraphFont"/>
    <w:link w:val="Title"/>
    <w:uiPriority w:val="10"/>
    <w:rsid w:val="00FD4350"/>
    <w:rPr>
      <w:rFonts w:asciiTheme="majorHAnsi" w:hAnsiTheme="majorHAnsi" w:eastAsiaTheme="majorEastAsia" w:cstheme="majorBidi"/>
      <w:caps/>
      <w:color w:val="1F497D" w:themeColor="text2"/>
      <w:spacing w:val="-15"/>
      <w:sz w:val="72"/>
      <w:szCs w:val="72"/>
    </w:rPr>
  </w:style>
  <w:style w:type="character" w:styleId="SubtitleChar" w:customStyle="1">
    <w:name w:val="Subtitle Char"/>
    <w:basedOn w:val="DefaultParagraphFont"/>
    <w:link w:val="Subtitle"/>
    <w:uiPriority w:val="11"/>
    <w:rsid w:val="00FD4350"/>
    <w:rPr>
      <w:rFonts w:asciiTheme="majorHAnsi" w:hAnsiTheme="majorHAnsi" w:eastAsiaTheme="majorEastAsia" w:cstheme="majorBidi"/>
      <w:color w:val="4F81BD" w:themeColor="accent1"/>
      <w:sz w:val="28"/>
      <w:szCs w:val="28"/>
    </w:rPr>
  </w:style>
  <w:style w:type="character" w:styleId="Strong">
    <w:name w:val="Strong"/>
    <w:basedOn w:val="DefaultParagraphFont"/>
    <w:uiPriority w:val="22"/>
    <w:qFormat/>
    <w:rsid w:val="00FD4350"/>
    <w:rPr>
      <w:b/>
      <w:bCs/>
    </w:rPr>
  </w:style>
  <w:style w:type="character" w:styleId="Emphasis">
    <w:name w:val="Emphasis"/>
    <w:basedOn w:val="DefaultParagraphFont"/>
    <w:uiPriority w:val="20"/>
    <w:qFormat/>
    <w:rsid w:val="00FD4350"/>
    <w:rPr>
      <w:i/>
      <w:iCs/>
    </w:rPr>
  </w:style>
  <w:style w:type="paragraph" w:styleId="NoSpacing">
    <w:name w:val="No Spacing"/>
    <w:uiPriority w:val="1"/>
    <w:qFormat/>
    <w:rsid w:val="00FD4350"/>
    <w:pPr>
      <w:spacing w:after="0" w:line="240" w:lineRule="auto"/>
    </w:pPr>
  </w:style>
  <w:style w:type="paragraph" w:styleId="Quote">
    <w:name w:val="Quote"/>
    <w:basedOn w:val="Normal"/>
    <w:next w:val="Normal"/>
    <w:link w:val="QuoteChar"/>
    <w:uiPriority w:val="29"/>
    <w:qFormat/>
    <w:rsid w:val="00FD4350"/>
    <w:pPr>
      <w:spacing w:before="120" w:after="120"/>
      <w:ind w:left="720"/>
    </w:pPr>
    <w:rPr>
      <w:color w:val="1F497D" w:themeColor="text2"/>
      <w:sz w:val="24"/>
      <w:szCs w:val="24"/>
    </w:rPr>
  </w:style>
  <w:style w:type="character" w:styleId="QuoteChar" w:customStyle="1">
    <w:name w:val="Quote Char"/>
    <w:basedOn w:val="DefaultParagraphFont"/>
    <w:link w:val="Quote"/>
    <w:uiPriority w:val="29"/>
    <w:rsid w:val="00FD4350"/>
    <w:rPr>
      <w:color w:val="1F497D" w:themeColor="text2"/>
      <w:sz w:val="24"/>
      <w:szCs w:val="24"/>
    </w:rPr>
  </w:style>
  <w:style w:type="paragraph" w:styleId="IntenseQuote">
    <w:name w:val="Intense Quote"/>
    <w:basedOn w:val="Normal"/>
    <w:next w:val="Normal"/>
    <w:link w:val="IntenseQuoteChar"/>
    <w:uiPriority w:val="30"/>
    <w:qFormat/>
    <w:rsid w:val="00FD4350"/>
    <w:pPr>
      <w:spacing w:before="100" w:beforeAutospacing="1" w:after="240" w:line="240" w:lineRule="auto"/>
      <w:ind w:left="720"/>
      <w:jc w:val="center"/>
    </w:pPr>
    <w:rPr>
      <w:rFonts w:asciiTheme="majorHAnsi" w:hAnsiTheme="majorHAnsi" w:eastAsiaTheme="majorEastAsia" w:cstheme="majorBidi"/>
      <w:color w:val="1F497D" w:themeColor="text2"/>
      <w:spacing w:val="-6"/>
      <w:sz w:val="32"/>
      <w:szCs w:val="32"/>
    </w:rPr>
  </w:style>
  <w:style w:type="character" w:styleId="IntenseQuoteChar" w:customStyle="1">
    <w:name w:val="Intense Quote Char"/>
    <w:basedOn w:val="DefaultParagraphFont"/>
    <w:link w:val="IntenseQuote"/>
    <w:uiPriority w:val="30"/>
    <w:rsid w:val="00FD4350"/>
    <w:rPr>
      <w:rFonts w:asciiTheme="majorHAnsi" w:hAnsiTheme="majorHAnsi" w:eastAsiaTheme="majorEastAsia" w:cstheme="majorBidi"/>
      <w:color w:val="1F497D" w:themeColor="text2"/>
      <w:spacing w:val="-6"/>
      <w:sz w:val="32"/>
      <w:szCs w:val="32"/>
    </w:rPr>
  </w:style>
  <w:style w:type="character" w:styleId="SubtleEmphasis">
    <w:name w:val="Subtle Emphasis"/>
    <w:basedOn w:val="DefaultParagraphFont"/>
    <w:uiPriority w:val="19"/>
    <w:qFormat/>
    <w:rsid w:val="00FD4350"/>
    <w:rPr>
      <w:i/>
      <w:iCs/>
      <w:color w:val="595959" w:themeColor="text1" w:themeTint="A6"/>
    </w:rPr>
  </w:style>
  <w:style w:type="character" w:styleId="IntenseEmphasis">
    <w:name w:val="Intense Emphasis"/>
    <w:basedOn w:val="DefaultParagraphFont"/>
    <w:uiPriority w:val="21"/>
    <w:qFormat/>
    <w:rsid w:val="00FD4350"/>
    <w:rPr>
      <w:b/>
      <w:bCs/>
      <w:i/>
      <w:iCs/>
    </w:rPr>
  </w:style>
  <w:style w:type="character" w:styleId="SubtleReference">
    <w:name w:val="Subtle Reference"/>
    <w:basedOn w:val="DefaultParagraphFont"/>
    <w:uiPriority w:val="31"/>
    <w:qFormat/>
    <w:rsid w:val="00FD4350"/>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FD4350"/>
    <w:rPr>
      <w:b/>
      <w:bCs/>
      <w:smallCaps/>
      <w:color w:val="1F497D" w:themeColor="text2"/>
      <w:u w:val="single"/>
    </w:rPr>
  </w:style>
  <w:style w:type="character" w:styleId="BookTitle">
    <w:name w:val="Book Title"/>
    <w:basedOn w:val="DefaultParagraphFont"/>
    <w:uiPriority w:val="33"/>
    <w:qFormat/>
    <w:rsid w:val="00FD4350"/>
    <w:rPr>
      <w:b/>
      <w:bCs/>
      <w:smallCaps/>
      <w:spacing w:val="10"/>
    </w:rPr>
  </w:style>
  <w:style w:type="table" w:styleId="TableGrid">
    <w:name w:val="Table Grid"/>
    <w:basedOn w:val="TableNormal"/>
    <w:uiPriority w:val="39"/>
    <w:rsid w:val="00A159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1807">
      <w:bodyDiv w:val="1"/>
      <w:marLeft w:val="0"/>
      <w:marRight w:val="0"/>
      <w:marTop w:val="0"/>
      <w:marBottom w:val="0"/>
      <w:divBdr>
        <w:top w:val="none" w:sz="0" w:space="0" w:color="auto"/>
        <w:left w:val="none" w:sz="0" w:space="0" w:color="auto"/>
        <w:bottom w:val="none" w:sz="0" w:space="0" w:color="auto"/>
        <w:right w:val="none" w:sz="0" w:space="0" w:color="auto"/>
      </w:divBdr>
      <w:divsChild>
        <w:div w:id="423305779">
          <w:marLeft w:val="0"/>
          <w:marRight w:val="0"/>
          <w:marTop w:val="0"/>
          <w:marBottom w:val="0"/>
          <w:divBdr>
            <w:top w:val="none" w:sz="0" w:space="0" w:color="auto"/>
            <w:left w:val="none" w:sz="0" w:space="0" w:color="auto"/>
            <w:bottom w:val="none" w:sz="0" w:space="0" w:color="auto"/>
            <w:right w:val="none" w:sz="0" w:space="0" w:color="auto"/>
          </w:divBdr>
        </w:div>
      </w:divsChild>
    </w:div>
    <w:div w:id="370881597">
      <w:bodyDiv w:val="1"/>
      <w:marLeft w:val="0"/>
      <w:marRight w:val="0"/>
      <w:marTop w:val="0"/>
      <w:marBottom w:val="0"/>
      <w:divBdr>
        <w:top w:val="none" w:sz="0" w:space="0" w:color="auto"/>
        <w:left w:val="none" w:sz="0" w:space="0" w:color="auto"/>
        <w:bottom w:val="none" w:sz="0" w:space="0" w:color="auto"/>
        <w:right w:val="none" w:sz="0" w:space="0" w:color="auto"/>
      </w:divBdr>
    </w:div>
    <w:div w:id="632642849">
      <w:bodyDiv w:val="1"/>
      <w:marLeft w:val="0"/>
      <w:marRight w:val="0"/>
      <w:marTop w:val="0"/>
      <w:marBottom w:val="0"/>
      <w:divBdr>
        <w:top w:val="none" w:sz="0" w:space="0" w:color="auto"/>
        <w:left w:val="none" w:sz="0" w:space="0" w:color="auto"/>
        <w:bottom w:val="none" w:sz="0" w:space="0" w:color="auto"/>
        <w:right w:val="none" w:sz="0" w:space="0" w:color="auto"/>
      </w:divBdr>
    </w:div>
    <w:div w:id="1173182089">
      <w:bodyDiv w:val="1"/>
      <w:marLeft w:val="0"/>
      <w:marRight w:val="0"/>
      <w:marTop w:val="0"/>
      <w:marBottom w:val="0"/>
      <w:divBdr>
        <w:top w:val="none" w:sz="0" w:space="0" w:color="auto"/>
        <w:left w:val="none" w:sz="0" w:space="0" w:color="auto"/>
        <w:bottom w:val="none" w:sz="0" w:space="0" w:color="auto"/>
        <w:right w:val="none" w:sz="0" w:space="0" w:color="auto"/>
      </w:divBdr>
      <w:divsChild>
        <w:div w:id="129710376">
          <w:marLeft w:val="0"/>
          <w:marRight w:val="0"/>
          <w:marTop w:val="0"/>
          <w:marBottom w:val="0"/>
          <w:divBdr>
            <w:top w:val="none" w:sz="0" w:space="0" w:color="auto"/>
            <w:left w:val="none" w:sz="0" w:space="0" w:color="auto"/>
            <w:bottom w:val="none" w:sz="0" w:space="0" w:color="auto"/>
            <w:right w:val="none" w:sz="0" w:space="0" w:color="auto"/>
          </w:divBdr>
        </w:div>
        <w:div w:id="1074400750">
          <w:marLeft w:val="0"/>
          <w:marRight w:val="0"/>
          <w:marTop w:val="0"/>
          <w:marBottom w:val="0"/>
          <w:divBdr>
            <w:top w:val="none" w:sz="0" w:space="0" w:color="auto"/>
            <w:left w:val="none" w:sz="0" w:space="0" w:color="auto"/>
            <w:bottom w:val="none" w:sz="0" w:space="0" w:color="auto"/>
            <w:right w:val="none" w:sz="0" w:space="0" w:color="auto"/>
          </w:divBdr>
        </w:div>
        <w:div w:id="1760711204">
          <w:marLeft w:val="0"/>
          <w:marRight w:val="0"/>
          <w:marTop w:val="0"/>
          <w:marBottom w:val="0"/>
          <w:divBdr>
            <w:top w:val="none" w:sz="0" w:space="0" w:color="auto"/>
            <w:left w:val="none" w:sz="0" w:space="0" w:color="auto"/>
            <w:bottom w:val="none" w:sz="0" w:space="0" w:color="auto"/>
            <w:right w:val="none" w:sz="0" w:space="0" w:color="auto"/>
          </w:divBdr>
        </w:div>
        <w:div w:id="2087412383">
          <w:marLeft w:val="0"/>
          <w:marRight w:val="0"/>
          <w:marTop w:val="0"/>
          <w:marBottom w:val="0"/>
          <w:divBdr>
            <w:top w:val="none" w:sz="0" w:space="0" w:color="auto"/>
            <w:left w:val="none" w:sz="0" w:space="0" w:color="auto"/>
            <w:bottom w:val="none" w:sz="0" w:space="0" w:color="auto"/>
            <w:right w:val="none" w:sz="0" w:space="0" w:color="auto"/>
          </w:divBdr>
        </w:div>
      </w:divsChild>
    </w:div>
    <w:div w:id="1220557262">
      <w:bodyDiv w:val="1"/>
      <w:marLeft w:val="0"/>
      <w:marRight w:val="0"/>
      <w:marTop w:val="0"/>
      <w:marBottom w:val="0"/>
      <w:divBdr>
        <w:top w:val="none" w:sz="0" w:space="0" w:color="auto"/>
        <w:left w:val="none" w:sz="0" w:space="0" w:color="auto"/>
        <w:bottom w:val="none" w:sz="0" w:space="0" w:color="auto"/>
        <w:right w:val="none" w:sz="0" w:space="0" w:color="auto"/>
      </w:divBdr>
      <w:divsChild>
        <w:div w:id="281619744">
          <w:marLeft w:val="0"/>
          <w:marRight w:val="0"/>
          <w:marTop w:val="0"/>
          <w:marBottom w:val="0"/>
          <w:divBdr>
            <w:top w:val="none" w:sz="0" w:space="0" w:color="auto"/>
            <w:left w:val="none" w:sz="0" w:space="0" w:color="auto"/>
            <w:bottom w:val="none" w:sz="0" w:space="0" w:color="auto"/>
            <w:right w:val="none" w:sz="0" w:space="0" w:color="auto"/>
          </w:divBdr>
        </w:div>
        <w:div w:id="812481310">
          <w:marLeft w:val="0"/>
          <w:marRight w:val="0"/>
          <w:marTop w:val="0"/>
          <w:marBottom w:val="0"/>
          <w:divBdr>
            <w:top w:val="none" w:sz="0" w:space="0" w:color="auto"/>
            <w:left w:val="none" w:sz="0" w:space="0" w:color="auto"/>
            <w:bottom w:val="none" w:sz="0" w:space="0" w:color="auto"/>
            <w:right w:val="none" w:sz="0" w:space="0" w:color="auto"/>
          </w:divBdr>
        </w:div>
        <w:div w:id="1149321501">
          <w:marLeft w:val="0"/>
          <w:marRight w:val="0"/>
          <w:marTop w:val="0"/>
          <w:marBottom w:val="0"/>
          <w:divBdr>
            <w:top w:val="none" w:sz="0" w:space="0" w:color="auto"/>
            <w:left w:val="none" w:sz="0" w:space="0" w:color="auto"/>
            <w:bottom w:val="none" w:sz="0" w:space="0" w:color="auto"/>
            <w:right w:val="none" w:sz="0" w:space="0" w:color="auto"/>
          </w:divBdr>
        </w:div>
        <w:div w:id="1235582647">
          <w:marLeft w:val="0"/>
          <w:marRight w:val="0"/>
          <w:marTop w:val="0"/>
          <w:marBottom w:val="0"/>
          <w:divBdr>
            <w:top w:val="none" w:sz="0" w:space="0" w:color="auto"/>
            <w:left w:val="none" w:sz="0" w:space="0" w:color="auto"/>
            <w:bottom w:val="none" w:sz="0" w:space="0" w:color="auto"/>
            <w:right w:val="none" w:sz="0" w:space="0" w:color="auto"/>
          </w:divBdr>
        </w:div>
        <w:div w:id="1442720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office.com/r/188BmHRMTG"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integrityhotline@mercycorps.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9/05/relationships/documenttasks" Target="documenttasks/documenttasks1.xml" Id="rId22" /><Relationship Type="http://schemas.openxmlformats.org/officeDocument/2006/relationships/glossaryDocument" Target="glossary/document.xml" Id="Rd1393add330449d9" /><Relationship Type="http://schemas.openxmlformats.org/officeDocument/2006/relationships/hyperlink" Target="https://www.mercycorps.org/sites/default/files/2023-10/1.%20Mock%20Proposal%20Template_French.docx" TargetMode="External" Id="R5e8de9c3671b49c0" /><Relationship Type="http://schemas.openxmlformats.org/officeDocument/2006/relationships/hyperlink" Target="https://www.mercycorps.org/sites/default/files/2023-10/2.%20References.docx" TargetMode="External" Id="Rae9b72406a974e2d" /><Relationship Type="http://schemas.openxmlformats.org/officeDocument/2006/relationships/hyperlink" Target="https://www.mercycorps.org/sites/default/files/2023-10/3.%20Pricing%20Sheet.xlsx" TargetMode="External" Id="R0b2355de7b3c4587" /><Relationship Type="http://schemas.openxmlformats.org/officeDocument/2006/relationships/hyperlink" Target="https://www.mercycorps.org/sites/default/files/2023-10/4.%20Self-Certification%20of%20Eligibility.docx" TargetMode="External" Id="Rc5e36fa770c84698" /><Relationship Type="http://schemas.openxmlformats.org/officeDocument/2006/relationships/hyperlink" Target="https://www.mercycorps.org/sites/default/files/2023-10/5.%20Supplier%20Information%20Form.docx" TargetMode="External" Id="R9e36bb3ca3af4e2c" /><Relationship Type="http://schemas.openxmlformats.org/officeDocument/2006/relationships/hyperlink" Target="https://www.mercycorps.org/sites/default/files/2023-10/6.%20Service%20Category%20Indication%20Form.docx" TargetMode="External" Id="Ra4feddcb35664b42" /><Relationship Type="http://schemas.openxmlformats.org/officeDocument/2006/relationships/hyperlink" Target="https://www.mercycorps.org/sites/default/files/2023-10/7.%20Self-Certification%20of%20Supplier%20Diversity.docx" TargetMode="External" Id="R22b85eedc50e4ef9" /><Relationship Type="http://schemas.openxmlformats.org/officeDocument/2006/relationships/hyperlink" Target="mailto:tenders@mercycorps.org" TargetMode="External" Id="R82f866314f534f9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D567919-FFBC-4F56-91B4-E2A8BCB5BD47}">
    <t:Anchor>
      <t:Comment id="682373123"/>
    </t:Anchor>
    <t:History>
      <t:Event id="{7350AC0A-323A-4A0D-AB89-60F1DA33B1A8}" time="2023-09-06T18:37:04.448Z">
        <t:Attribution userId="S::lkagai@mercycorps.org::d2dcaa25-b7c5-488a-a5a5-8f18b69634f1" userProvider="AD" userName="Lillian Kagai"/>
        <t:Anchor>
          <t:Comment id="682373123"/>
        </t:Anchor>
        <t:Create/>
      </t:Event>
      <t:Event id="{8D22432C-BBDD-4119-A6FF-EB6C17804B07}" time="2023-09-06T18:37:04.448Z">
        <t:Attribution userId="S::lkagai@mercycorps.org::d2dcaa25-b7c5-488a-a5a5-8f18b69634f1" userProvider="AD" userName="Lillian Kagai"/>
        <t:Anchor>
          <t:Comment id="682373123"/>
        </t:Anchor>
        <t:Assign userId="S::gsuarez@mercycorps.org::f52255ec-284e-4dd3-b656-bf91441ba602" userProvider="AD" userName="Gabriel Suarez"/>
      </t:Event>
      <t:Event id="{05300707-A675-47BA-96D4-E9FA5CBAEABA}" time="2023-09-06T18:37:04.448Z">
        <t:Attribution userId="S::lkagai@mercycorps.org::d2dcaa25-b7c5-488a-a5a5-8f18b69634f1" userProvider="AD" userName="Lillian Kagai"/>
        <t:Anchor>
          <t:Comment id="682373123"/>
        </t:Anchor>
        <t:SetTitle title="@Gabriel Suarez add this"/>
      </t:Event>
      <t:Event id="{7DE98F7F-C9BD-4F69-BD58-E6D15D688D3E}" time="2023-09-14T23:29:15.305Z">
        <t:Attribution userId="S::annbaker@mercycorps.org::2d47e67f-cd05-4ae2-95ef-bdd0f5a61050" userProvider="AD" userName="Annie Baker"/>
        <t:Progress percentComplete="100"/>
      </t:Event>
    </t:History>
  </t:Task>
  <t:Task id="{D1D3C824-0D83-4325-B591-F06304C5FD3F}">
    <t:Anchor>
      <t:Comment id="879652262"/>
    </t:Anchor>
    <t:History>
      <t:Event id="{33CD9B4C-79B3-4A89-B3FD-60AA718ED02B}" time="2023-09-28T13:58:51.225Z">
        <t:Attribution userId="S::annbaker@mercycorps.org::2d47e67f-cd05-4ae2-95ef-bdd0f5a61050" userProvider="AD" userName="Annie Baker"/>
        <t:Anchor>
          <t:Comment id="879652262"/>
        </t:Anchor>
        <t:Create/>
      </t:Event>
      <t:Event id="{1EF8AA5F-C1A8-4E4D-A149-DA8896A45590}" time="2023-09-28T13:58:51.225Z">
        <t:Attribution userId="S::annbaker@mercycorps.org::2d47e67f-cd05-4ae2-95ef-bdd0f5a61050" userProvider="AD" userName="Annie Baker"/>
        <t:Anchor>
          <t:Comment id="879652262"/>
        </t:Anchor>
        <t:Assign userId="S::dshakya@mercycorps.org::1cde0da6-7bff-43c9-b01b-1e978beb6531" userProvider="AD" userName="Deepa Shakya"/>
      </t:Event>
      <t:Event id="{8A69E29B-B7BA-419B-81A1-EAF05B00BD98}" time="2023-09-28T13:58:51.225Z">
        <t:Attribution userId="S::annbaker@mercycorps.org::2d47e67f-cd05-4ae2-95ef-bdd0f5a61050" userProvider="AD" userName="Annie Baker"/>
        <t:Anchor>
          <t:Comment id="879652262"/>
        </t:Anchor>
        <t:SetTitle title="@Deepa Shakya does this language look okay to you?"/>
      </t:Event>
      <t:Event id="{46FE1414-E95F-418B-95D0-9E0BA2FEB69B}" time="2023-10-10T22:53:08.039Z">
        <t:Attribution userId="S::annbaker@mercycorps.org::2d47e67f-cd05-4ae2-95ef-bdd0f5a61050" userProvider="AD" userName="Annie Baker"/>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f422a4-b8f8-4b9e-89fd-38529813abed}"/>
      </w:docPartPr>
      <w:docPartBody>
        <w:p w14:paraId="4E15E35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0316ce-b060-4817-b5f5-6985416301e8">
      <Terms xmlns="http://schemas.microsoft.com/office/infopath/2007/PartnerControls"/>
    </lcf76f155ced4ddcb4097134ff3c332f>
    <TaxCatchAll xmlns="3d2dd2c6-932b-4822-9dbd-d0669e617e0f" xsi:nil="true"/>
    <name xmlns="4e0316ce-b060-4817-b5f5-6985416301e8" xsi:nil="true"/>
    <Indicator_x0023_ xmlns="4e0316ce-b060-4817-b5f5-6985416301e8" xsi:nil="true"/>
  </documentManagement>
</p:properties>
</file>

<file path=customXml/itemProps1.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customXml/itemProps2.xml><?xml version="1.0" encoding="utf-8"?>
<ds:datastoreItem xmlns:ds="http://schemas.openxmlformats.org/officeDocument/2006/customXml" ds:itemID="{C34F0F61-C210-42BA-A8DA-1F24CB63D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16ce-b060-4817-b5f5-6985416301e8"/>
    <ds:schemaRef ds:uri="3d2dd2c6-932b-4822-9dbd-d0669e61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4.xml><?xml version="1.0" encoding="utf-8"?>
<ds:datastoreItem xmlns:ds="http://schemas.openxmlformats.org/officeDocument/2006/customXml" ds:itemID="{EA12A1A2-19BC-4703-B4D9-02F92F97F21A}">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Mercy Corps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jseram</dc:creator>
  <keywords/>
  <lastModifiedBy>Annie Baker</lastModifiedBy>
  <revision>8</revision>
  <dcterms:created xsi:type="dcterms:W3CDTF">2023-10-23T16:47:00.0000000Z</dcterms:created>
  <dcterms:modified xsi:type="dcterms:W3CDTF">2023-10-27T20:29:04.8837962Z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0x010100EA539BD1588B074F94C31E3D50DCF215</vt:lpwstr>
  </property>
</Properties>
</file>