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0"/>
        <w:gridCol w:w="7040"/>
      </w:tblGrid>
      <w:tr w:rsidR="0044306F" w:rsidRPr="001507F3" w14:paraId="2C8DFABE" w14:textId="77777777" w:rsidTr="00724F54">
        <w:tc>
          <w:tcPr>
            <w:tcW w:w="2470" w:type="dxa"/>
            <w:shd w:val="clear" w:color="auto" w:fill="auto"/>
            <w:tcMar>
              <w:top w:w="100" w:type="dxa"/>
              <w:left w:w="100" w:type="dxa"/>
              <w:bottom w:w="100" w:type="dxa"/>
              <w:right w:w="100" w:type="dxa"/>
            </w:tcMar>
          </w:tcPr>
          <w:p w14:paraId="3EF59D40" w14:textId="778C6939" w:rsidR="0044306F" w:rsidRPr="001507F3" w:rsidRDefault="0044306F" w:rsidP="0089400D">
            <w:pPr>
              <w:widowControl w:val="0"/>
              <w:pBdr>
                <w:top w:val="nil"/>
                <w:left w:val="nil"/>
                <w:bottom w:val="nil"/>
                <w:right w:val="nil"/>
                <w:between w:val="nil"/>
              </w:pBdr>
              <w:spacing w:after="0"/>
              <w:rPr>
                <w:b/>
                <w:color w:val="5A5555"/>
                <w:sz w:val="20"/>
                <w:szCs w:val="20"/>
                <w:highlight w:val="white"/>
              </w:rPr>
            </w:pPr>
            <w:r w:rsidRPr="001507F3">
              <w:rPr>
                <w:b/>
                <w:color w:val="5A5555"/>
                <w:sz w:val="20"/>
                <w:szCs w:val="20"/>
                <w:highlight w:val="white"/>
              </w:rPr>
              <w:t>Programa/Título</w:t>
            </w:r>
          </w:p>
        </w:tc>
        <w:tc>
          <w:tcPr>
            <w:tcW w:w="7040" w:type="dxa"/>
            <w:shd w:val="clear" w:color="auto" w:fill="auto"/>
            <w:tcMar>
              <w:top w:w="100" w:type="dxa"/>
              <w:left w:w="100" w:type="dxa"/>
              <w:bottom w:w="100" w:type="dxa"/>
              <w:right w:w="100" w:type="dxa"/>
            </w:tcMar>
          </w:tcPr>
          <w:p w14:paraId="6F9E7225" w14:textId="29D59A67" w:rsidR="0044306F" w:rsidRPr="001507F3" w:rsidRDefault="0044306F" w:rsidP="0089400D">
            <w:pPr>
              <w:widowControl w:val="0"/>
              <w:pBdr>
                <w:top w:val="nil"/>
                <w:left w:val="nil"/>
                <w:bottom w:val="nil"/>
                <w:right w:val="nil"/>
                <w:between w:val="nil"/>
              </w:pBdr>
              <w:spacing w:after="0"/>
              <w:rPr>
                <w:b/>
                <w:color w:val="5A5555"/>
                <w:sz w:val="20"/>
                <w:szCs w:val="20"/>
                <w:highlight w:val="white"/>
              </w:rPr>
            </w:pPr>
            <w:r w:rsidRPr="001507F3">
              <w:rPr>
                <w:b/>
                <w:color w:val="5A5555"/>
                <w:sz w:val="20"/>
                <w:szCs w:val="20"/>
              </w:rPr>
              <w:t>VEzperza</w:t>
            </w:r>
          </w:p>
        </w:tc>
      </w:tr>
      <w:tr w:rsidR="0044306F" w:rsidRPr="001507F3" w14:paraId="1E66A781" w14:textId="77777777" w:rsidTr="00724F54">
        <w:tc>
          <w:tcPr>
            <w:tcW w:w="2470" w:type="dxa"/>
            <w:shd w:val="clear" w:color="auto" w:fill="auto"/>
            <w:tcMar>
              <w:top w:w="100" w:type="dxa"/>
              <w:left w:w="100" w:type="dxa"/>
              <w:bottom w:w="100" w:type="dxa"/>
              <w:right w:w="100" w:type="dxa"/>
            </w:tcMar>
          </w:tcPr>
          <w:p w14:paraId="5DD903E4" w14:textId="204F14BB" w:rsidR="0044306F" w:rsidRPr="001507F3" w:rsidRDefault="0044306F" w:rsidP="0089400D">
            <w:pPr>
              <w:widowControl w:val="0"/>
              <w:pBdr>
                <w:top w:val="nil"/>
                <w:left w:val="nil"/>
                <w:bottom w:val="nil"/>
                <w:right w:val="nil"/>
                <w:between w:val="nil"/>
              </w:pBdr>
              <w:spacing w:after="0"/>
              <w:rPr>
                <w:b/>
                <w:color w:val="5A5555"/>
                <w:sz w:val="20"/>
                <w:szCs w:val="20"/>
                <w:highlight w:val="white"/>
              </w:rPr>
            </w:pPr>
            <w:r w:rsidRPr="001507F3">
              <w:rPr>
                <w:b/>
                <w:color w:val="5A5555"/>
                <w:sz w:val="20"/>
                <w:szCs w:val="20"/>
                <w:highlight w:val="white"/>
              </w:rPr>
              <w:t>Ubicación(es) del programa</w:t>
            </w:r>
          </w:p>
        </w:tc>
        <w:tc>
          <w:tcPr>
            <w:tcW w:w="7040" w:type="dxa"/>
            <w:shd w:val="clear" w:color="auto" w:fill="auto"/>
            <w:tcMar>
              <w:top w:w="100" w:type="dxa"/>
              <w:left w:w="100" w:type="dxa"/>
              <w:bottom w:w="100" w:type="dxa"/>
              <w:right w:w="100" w:type="dxa"/>
            </w:tcMar>
          </w:tcPr>
          <w:p w14:paraId="69773CDC" w14:textId="60ADB767" w:rsidR="0044306F" w:rsidRPr="001507F3" w:rsidRDefault="0044306F" w:rsidP="0089400D">
            <w:pPr>
              <w:widowControl w:val="0"/>
              <w:pBdr>
                <w:top w:val="nil"/>
                <w:left w:val="nil"/>
                <w:bottom w:val="nil"/>
                <w:right w:val="nil"/>
                <w:between w:val="nil"/>
              </w:pBdr>
              <w:spacing w:after="0"/>
              <w:rPr>
                <w:b/>
                <w:color w:val="5A5555"/>
                <w:sz w:val="20"/>
                <w:szCs w:val="20"/>
                <w:highlight w:val="white"/>
              </w:rPr>
            </w:pPr>
            <w:proofErr w:type="spellStart"/>
            <w:r w:rsidRPr="001507F3">
              <w:rPr>
                <w:b/>
                <w:color w:val="5A5555"/>
                <w:sz w:val="20"/>
                <w:szCs w:val="20"/>
                <w:highlight w:val="white"/>
              </w:rPr>
              <w:t>Zandalia</w:t>
            </w:r>
            <w:proofErr w:type="spellEnd"/>
            <w:r w:rsidRPr="001507F3">
              <w:rPr>
                <w:b/>
                <w:color w:val="5A5555"/>
                <w:sz w:val="20"/>
                <w:szCs w:val="20"/>
                <w:highlight w:val="white"/>
              </w:rPr>
              <w:t>; todo el país</w:t>
            </w:r>
          </w:p>
        </w:tc>
      </w:tr>
      <w:tr w:rsidR="0044306F" w:rsidRPr="001507F3" w14:paraId="71E862C4" w14:textId="77777777" w:rsidTr="00724F54">
        <w:tc>
          <w:tcPr>
            <w:tcW w:w="2470" w:type="dxa"/>
            <w:shd w:val="clear" w:color="auto" w:fill="auto"/>
            <w:tcMar>
              <w:top w:w="100" w:type="dxa"/>
              <w:left w:w="100" w:type="dxa"/>
              <w:bottom w:w="100" w:type="dxa"/>
              <w:right w:w="100" w:type="dxa"/>
            </w:tcMar>
          </w:tcPr>
          <w:p w14:paraId="6334C2B3" w14:textId="77777777" w:rsidR="0044306F" w:rsidRPr="001507F3" w:rsidRDefault="0044306F" w:rsidP="0089400D">
            <w:pPr>
              <w:widowControl w:val="0"/>
              <w:pBdr>
                <w:top w:val="nil"/>
                <w:left w:val="nil"/>
                <w:bottom w:val="nil"/>
                <w:right w:val="nil"/>
                <w:between w:val="nil"/>
              </w:pBdr>
              <w:spacing w:after="0"/>
              <w:rPr>
                <w:b/>
                <w:color w:val="5A5555"/>
                <w:sz w:val="20"/>
                <w:szCs w:val="20"/>
                <w:highlight w:val="white"/>
              </w:rPr>
            </w:pPr>
            <w:r w:rsidRPr="001507F3">
              <w:rPr>
                <w:b/>
                <w:color w:val="5A5555"/>
                <w:sz w:val="20"/>
                <w:szCs w:val="20"/>
                <w:highlight w:val="white"/>
              </w:rPr>
              <w:t>Duración</w:t>
            </w:r>
          </w:p>
        </w:tc>
        <w:tc>
          <w:tcPr>
            <w:tcW w:w="7040" w:type="dxa"/>
            <w:shd w:val="clear" w:color="auto" w:fill="auto"/>
            <w:tcMar>
              <w:top w:w="100" w:type="dxa"/>
              <w:left w:w="100" w:type="dxa"/>
              <w:bottom w:w="100" w:type="dxa"/>
              <w:right w:w="100" w:type="dxa"/>
            </w:tcMar>
          </w:tcPr>
          <w:p w14:paraId="7A1E27C3" w14:textId="0361C276" w:rsidR="0044306F" w:rsidRPr="001507F3" w:rsidRDefault="0044306F" w:rsidP="00724F54">
            <w:pPr>
              <w:widowControl w:val="0"/>
              <w:pBdr>
                <w:top w:val="nil"/>
                <w:left w:val="nil"/>
                <w:bottom w:val="nil"/>
                <w:right w:val="nil"/>
                <w:between w:val="nil"/>
              </w:pBdr>
              <w:spacing w:before="0" w:after="0"/>
              <w:rPr>
                <w:b/>
                <w:color w:val="5A5555"/>
                <w:sz w:val="20"/>
                <w:szCs w:val="20"/>
                <w:highlight w:val="white"/>
              </w:rPr>
            </w:pPr>
            <w:r w:rsidRPr="001507F3">
              <w:rPr>
                <w:b/>
                <w:color w:val="5A5555"/>
                <w:sz w:val="20"/>
                <w:szCs w:val="20"/>
              </w:rPr>
              <w:t>Los trabajos deben comenzar en algún momento entre marzo y abril de 2024, es decir, 1-2 meses antes del final del programa. El informe final debe presentarse antes del 15 de mayo de 2024</w:t>
            </w:r>
          </w:p>
        </w:tc>
      </w:tr>
    </w:tbl>
    <w:p w14:paraId="7B21EE03" w14:textId="77777777" w:rsidR="0044306F" w:rsidRPr="00AD33F2" w:rsidRDefault="0044306F" w:rsidP="0044306F">
      <w:pPr>
        <w:spacing w:after="0"/>
        <w:jc w:val="both"/>
        <w:rPr>
          <w:b/>
          <w:color w:val="5A5555"/>
          <w:sz w:val="17"/>
          <w:szCs w:val="17"/>
          <w:highlight w:val="white"/>
        </w:rPr>
      </w:pP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9"/>
      </w:tblGrid>
      <w:tr w:rsidR="0044306F" w:rsidRPr="00AD33F2" w14:paraId="3B6F2818" w14:textId="77777777" w:rsidTr="001507F3">
        <w:trPr>
          <w:trHeight w:val="327"/>
        </w:trPr>
        <w:tc>
          <w:tcPr>
            <w:tcW w:w="9479" w:type="dxa"/>
            <w:tcBorders>
              <w:top w:val="nil"/>
              <w:left w:val="nil"/>
              <w:bottom w:val="nil"/>
              <w:right w:val="nil"/>
            </w:tcBorders>
            <w:shd w:val="clear" w:color="auto" w:fill="CF102D"/>
          </w:tcPr>
          <w:p w14:paraId="5FB4F02F" w14:textId="77777777" w:rsidR="0044306F" w:rsidRPr="00AD33F2" w:rsidRDefault="0044306F" w:rsidP="0089400D">
            <w:pPr>
              <w:jc w:val="both"/>
              <w:rPr>
                <w:b/>
                <w:color w:val="FFFFFF"/>
              </w:rPr>
            </w:pPr>
          </w:p>
        </w:tc>
      </w:tr>
    </w:tbl>
    <w:p w14:paraId="32620593" w14:textId="518406B0" w:rsidR="0044306F" w:rsidRPr="00AD33F2" w:rsidRDefault="00D65FC1" w:rsidP="00724F54">
      <w:pPr>
        <w:pStyle w:val="Heading2"/>
      </w:pPr>
      <w:r w:rsidRPr="00AD33F2">
        <w:t>Antecedentes</w:t>
      </w:r>
    </w:p>
    <w:p w14:paraId="21453E92" w14:textId="3CA215B1" w:rsidR="004A540E" w:rsidRPr="00AD33F2" w:rsidRDefault="00D172B2">
      <w:pPr>
        <w:spacing w:before="17"/>
        <w:jc w:val="both"/>
      </w:pPr>
      <w:r w:rsidRPr="00AD33F2">
        <w:t xml:space="preserve">El consorcio </w:t>
      </w:r>
      <w:proofErr w:type="spellStart"/>
      <w:r w:rsidRPr="00AD33F2">
        <w:t>VEzperza</w:t>
      </w:r>
      <w:proofErr w:type="spellEnd"/>
      <w:r w:rsidRPr="00AD33F2">
        <w:t xml:space="preserve"> (VE) </w:t>
      </w:r>
      <w:r w:rsidR="006802FC" w:rsidRPr="00AD33F2">
        <w:t>(</w:t>
      </w:r>
      <w:r w:rsidRPr="00AD33F2">
        <w:t>integrado por el Comité Internacional de Seguridad (ISC), Mercy Corps, ChildrenToChildren y Global Vision for Peace</w:t>
      </w:r>
      <w:r w:rsidR="006802FC" w:rsidRPr="00AD33F2">
        <w:t>)</w:t>
      </w:r>
      <w:r w:rsidRPr="00AD33F2">
        <w:t xml:space="preserve"> ha trabajado desde el 15 de agosto de 2019 para proporcionar asistencia humanitaria en efectivo multipropósito (MPCA) y programación de nutrición complementaria </w:t>
      </w:r>
      <w:r w:rsidR="006802FC" w:rsidRPr="00AD33F2">
        <w:t xml:space="preserve">a los fines de </w:t>
      </w:r>
      <w:r w:rsidRPr="00AD33F2">
        <w:t>mejorar el acceso a las necesidades básicas de las Personas Necesitadas (PIN) en Zandalia. Este programa está enfocado a migrantes y refugiados xandulanos con intención de permanecer en Zandalia, retornados zandalianos y miembros de la comunidad de acogida. En diciembre de 2021, el consorcio había entregado casi $</w:t>
      </w:r>
      <w:r w:rsidR="006802FC" w:rsidRPr="00AD33F2">
        <w:t xml:space="preserve"> </w:t>
      </w:r>
      <w:r w:rsidRPr="00AD33F2">
        <w:t>40 millones en MPCA para salvar vidas a más de 319</w:t>
      </w:r>
      <w:r w:rsidR="006802FC" w:rsidRPr="00AD33F2">
        <w:t>.</w:t>
      </w:r>
      <w:r w:rsidRPr="00AD33F2">
        <w:t>000 participantes, entregando programas de nutrición complementaria a más de 63</w:t>
      </w:r>
      <w:r w:rsidR="006802FC" w:rsidRPr="00AD33F2">
        <w:t>.</w:t>
      </w:r>
      <w:r w:rsidRPr="00AD33F2">
        <w:t>000 personas, y había comenzado a ayudar a los participantes en los esfuerzos de registro para el estatus migratorio legal ante el Gobierno de Zandalia (GOZ) para ampliar el acceso a los servicios sociales. El programa se amplió recientemente para llegar a más de 358</w:t>
      </w:r>
      <w:r w:rsidR="006802FC" w:rsidRPr="00AD33F2">
        <w:t>.</w:t>
      </w:r>
      <w:r w:rsidRPr="00AD33F2">
        <w:t>000 participantes. Con más de $</w:t>
      </w:r>
      <w:r w:rsidR="006802FC" w:rsidRPr="00AD33F2">
        <w:t xml:space="preserve"> </w:t>
      </w:r>
      <w:r w:rsidRPr="00AD33F2">
        <w:t>93</w:t>
      </w:r>
      <w:r w:rsidR="006802FC" w:rsidRPr="00AD33F2">
        <w:t xml:space="preserve"> millones</w:t>
      </w:r>
      <w:r w:rsidRPr="00AD33F2">
        <w:t xml:space="preserve"> en valor total del programa, VE representa tanto uno de los mayores programas actuales de Mercy Corps como uno de los mayores programas MPCA de Mercy Corps.</w:t>
      </w:r>
    </w:p>
    <w:p w14:paraId="6599E579" w14:textId="3A77895E" w:rsidR="0044306F" w:rsidRPr="00AD33F2" w:rsidRDefault="0044306F" w:rsidP="00724F54">
      <w:pPr>
        <w:pStyle w:val="Heading2"/>
        <w:numPr>
          <w:ilvl w:val="1"/>
          <w:numId w:val="8"/>
        </w:numPr>
      </w:pPr>
      <w:r w:rsidRPr="00AD33F2">
        <w:t xml:space="preserve">Programa que será analizado </w:t>
      </w:r>
    </w:p>
    <w:p w14:paraId="5C0544A0" w14:textId="01C5EF65" w:rsidR="0044306F" w:rsidRPr="00AD33F2" w:rsidRDefault="0044306F" w:rsidP="00724F54">
      <w:pPr>
        <w:spacing w:after="0"/>
        <w:jc w:val="both"/>
      </w:pPr>
      <w:r w:rsidRPr="00AD33F2">
        <w:t xml:space="preserve">Este programa de dos años comenzó el 1 de junio de 2022 y finalizará el 31 de mayo de 2024. Ha sido implementado en Zandalia por Mercy Corps, ChildrenToChildren y Global Vision for Peace. VEzperza trabaja con migrantes y refugiados </w:t>
      </w:r>
      <w:r w:rsidR="006802FC" w:rsidRPr="00AD33F2">
        <w:t xml:space="preserve">que tienen </w:t>
      </w:r>
      <w:r w:rsidRPr="00AD33F2">
        <w:t>la intención de permanecer en Zandalia, repatriados de Zandalia y miembros de la comunidad de acogida en entornos urbanos. Los entornos urbanos están distribuidos por todo el país y son accesibles durante todo el año.</w:t>
      </w:r>
    </w:p>
    <w:p w14:paraId="188E384F" w14:textId="5014C43B" w:rsidR="004A540E" w:rsidRPr="00724F54" w:rsidRDefault="00D65FC1" w:rsidP="00724F54">
      <w:pPr>
        <w:pStyle w:val="Heading2"/>
        <w:rPr>
          <w:b w:val="0"/>
        </w:rPr>
      </w:pPr>
      <w:r w:rsidRPr="00AD33F2">
        <w:t xml:space="preserve">Propósito y objetivos del análisis </w:t>
      </w:r>
      <w:r w:rsidR="006802FC" w:rsidRPr="00AD33F2">
        <w:t xml:space="preserve">de </w:t>
      </w:r>
      <w:r w:rsidRPr="00AD33F2">
        <w:t xml:space="preserve">VfM </w:t>
      </w:r>
      <w:r w:rsidRPr="00724F54">
        <w:t xml:space="preserve"> </w:t>
      </w:r>
    </w:p>
    <w:p w14:paraId="1FDA377D" w14:textId="77777777" w:rsidR="00D65FC1" w:rsidRPr="00AD33F2" w:rsidRDefault="00D65FC1" w:rsidP="00D65FC1">
      <w:pPr>
        <w:jc w:val="both"/>
      </w:pPr>
      <w:r w:rsidRPr="00AD33F2">
        <w:t xml:space="preserve">A nivel de agencia, Mercy Corps ha establecido un grupo de trabajo para definir un enfoque común de Valor por Dinero (VfM). El grupo de trabajo de VfM es un lugar para coordinar los esfuerzos hacia el fortalecimiento y la racionalización de la comprensión y el análisis de VfM a nivel organizativo y programático. El objetivo del grupo es definir qué significa VfM para Mercy Corps, y cómo y cuándo puede aplicarse el análisis de la GpC de forma coherente a los </w:t>
      </w:r>
      <w:r w:rsidRPr="00AD33F2">
        <w:lastRenderedPageBreak/>
        <w:t>programas. Como complemento, Mercy Corps es miembro del consorcio multiagencial Dioptra</w:t>
      </w:r>
      <w:r w:rsidRPr="00AD33F2">
        <w:rPr>
          <w:vertAlign w:val="superscript"/>
        </w:rPr>
        <w:footnoteReference w:id="1"/>
      </w:r>
      <w:r w:rsidRPr="00AD33F2">
        <w:t>, cuyo objetivo es desarrollar una metodología y un software comunes para el análisis de la eficiencia de costos y llevar a cabo actividades conjuntas de promoción de donantes en torno a parámetros de ejecución eficiente de programas y mejores prácticas para las mediciones y expectativas de VfM.</w:t>
      </w:r>
    </w:p>
    <w:p w14:paraId="2312FFD9" w14:textId="77777777" w:rsidR="004A540E" w:rsidRPr="00AD33F2" w:rsidRDefault="00D172B2">
      <w:pPr>
        <w:ind w:right="10"/>
        <w:jc w:val="both"/>
      </w:pPr>
      <w:r w:rsidRPr="00AD33F2">
        <w:t>Como componente de su agenda de aprendizaje, y para promover los esfuerzos de Mercy Corps para evaluar la rentabilidad del programa (VfM), Mercy Corps y el Consorcio VE están interesados en evaluar la VfM de VE, específicamente con respecto a MPCA. Esto también impulsará el compromiso de Mercy Corps con la colaboración sectorial en materia de VfM y el intercambio de información a través del consorcio Dioptra, que también incluye a varias agencias de VE.</w:t>
      </w:r>
    </w:p>
    <w:p w14:paraId="05BA0886" w14:textId="77777777" w:rsidR="001844C2" w:rsidRPr="00AD33F2" w:rsidRDefault="001844C2" w:rsidP="00724F54">
      <w:pPr>
        <w:pStyle w:val="Heading2"/>
      </w:pPr>
      <w:r w:rsidRPr="00AD33F2">
        <w:t>Objetivos y preguntas del estudio</w:t>
      </w:r>
    </w:p>
    <w:p w14:paraId="4CE5A4C4" w14:textId="79EA1B2D" w:rsidR="001844C2" w:rsidRPr="00AD33F2" w:rsidRDefault="001844C2" w:rsidP="001844C2">
      <w:pPr>
        <w:ind w:right="10"/>
        <w:jc w:val="both"/>
      </w:pPr>
      <w:r w:rsidRPr="00AD33F2">
        <w:t>Los objetivos específicos de este análisis son:</w:t>
      </w:r>
    </w:p>
    <w:p w14:paraId="054284E7" w14:textId="2D17D7CB" w:rsidR="001844C2" w:rsidRPr="00AD33F2" w:rsidRDefault="001844C2" w:rsidP="00724F54">
      <w:pPr>
        <w:numPr>
          <w:ilvl w:val="0"/>
          <w:numId w:val="10"/>
        </w:numPr>
        <w:ind w:right="10"/>
        <w:jc w:val="both"/>
      </w:pPr>
      <w:r w:rsidRPr="00AD33F2">
        <w:t xml:space="preserve">evaluar el costo y el diseño, la eficiencia, la eficacia y la equidad de VE MPCA utilizando metodologías aceptadas y desarrolladas por </w:t>
      </w:r>
      <w:proofErr w:type="spellStart"/>
      <w:r w:rsidRPr="00AD33F2">
        <w:t>Mercy</w:t>
      </w:r>
      <w:proofErr w:type="spellEnd"/>
      <w:r w:rsidRPr="00AD33F2">
        <w:t xml:space="preserve"> Corps</w:t>
      </w:r>
      <w:r w:rsidR="006802FC" w:rsidRPr="00AD33F2">
        <w:t>;</w:t>
      </w:r>
    </w:p>
    <w:p w14:paraId="63F14D8F" w14:textId="06BE49AA" w:rsidR="001844C2" w:rsidRPr="00AD33F2" w:rsidRDefault="001844C2" w:rsidP="00724F54">
      <w:pPr>
        <w:numPr>
          <w:ilvl w:val="0"/>
          <w:numId w:val="10"/>
        </w:numPr>
        <w:ind w:right="10"/>
        <w:jc w:val="both"/>
      </w:pPr>
      <w:r w:rsidRPr="00AD33F2">
        <w:t xml:space="preserve">aumentar la comprensión del equipo de EV sobre los análisis de </w:t>
      </w:r>
      <w:proofErr w:type="spellStart"/>
      <w:r w:rsidRPr="00AD33F2">
        <w:t>VfM</w:t>
      </w:r>
      <w:proofErr w:type="spellEnd"/>
      <w:r w:rsidRPr="00AD33F2">
        <w:t xml:space="preserve"> y su uso</w:t>
      </w:r>
      <w:r w:rsidR="006802FC" w:rsidRPr="00AD33F2">
        <w:t>;</w:t>
      </w:r>
    </w:p>
    <w:p w14:paraId="3B395744" w14:textId="4D1CAABE" w:rsidR="001844C2" w:rsidRPr="00AD33F2" w:rsidRDefault="001844C2" w:rsidP="00724F54">
      <w:pPr>
        <w:numPr>
          <w:ilvl w:val="0"/>
          <w:numId w:val="10"/>
        </w:numPr>
        <w:ind w:right="10"/>
        <w:jc w:val="both"/>
      </w:pPr>
      <w:r w:rsidRPr="00AD33F2">
        <w:t>contribuir a la base de pruebas de todo el sector para la rentabilidad en la programación humanitaria de los MPCA</w:t>
      </w:r>
      <w:r w:rsidR="006802FC" w:rsidRPr="00AD33F2">
        <w:t>;</w:t>
      </w:r>
    </w:p>
    <w:p w14:paraId="21D5B042" w14:textId="77777777" w:rsidR="001844C2" w:rsidRPr="00AD33F2" w:rsidRDefault="001844C2">
      <w:pPr>
        <w:numPr>
          <w:ilvl w:val="0"/>
          <w:numId w:val="10"/>
        </w:numPr>
        <w:ind w:right="10"/>
        <w:jc w:val="both"/>
      </w:pPr>
      <w:r w:rsidRPr="00AD33F2">
        <w:t>proporcionar a los miembros del Consorcio de Voluntarios de Emergencia datos sobre la gestión de costos para abogar ante los donantes y/u otras partes interesadas internas/externas y/o diseñar futuras intervenciones.</w:t>
      </w:r>
    </w:p>
    <w:p w14:paraId="60446694" w14:textId="77777777" w:rsidR="002E022C" w:rsidRPr="00AD33F2" w:rsidRDefault="002E022C" w:rsidP="00724F54">
      <w:pPr>
        <w:spacing w:after="0"/>
        <w:ind w:left="720" w:right="10"/>
        <w:jc w:val="both"/>
      </w:pPr>
    </w:p>
    <w:tbl>
      <w:tblPr>
        <w:tblStyle w:val="TableGrid"/>
        <w:tblW w:w="0" w:type="auto"/>
        <w:tblLook w:val="04A0" w:firstRow="1" w:lastRow="0" w:firstColumn="1" w:lastColumn="0" w:noHBand="0" w:noVBand="1"/>
      </w:tblPr>
      <w:tblGrid>
        <w:gridCol w:w="9350"/>
      </w:tblGrid>
      <w:tr w:rsidR="00251F14" w:rsidRPr="00AD33F2" w14:paraId="30949EE5" w14:textId="77777777" w:rsidTr="00251F14">
        <w:tc>
          <w:tcPr>
            <w:tcW w:w="9350" w:type="dxa"/>
          </w:tcPr>
          <w:p w14:paraId="0B720774" w14:textId="30A0427F" w:rsidR="00251F14" w:rsidRPr="00AD33F2" w:rsidRDefault="00251F14" w:rsidP="00251F14">
            <w:pPr>
              <w:ind w:right="10"/>
              <w:jc w:val="both"/>
            </w:pPr>
            <w:r w:rsidRPr="00AD33F2">
              <w:rPr>
                <w:rStyle w:val="normaltextrun"/>
                <w:rFonts w:ascii="Arial" w:hAnsi="Arial"/>
                <w:color w:val="000000"/>
                <w:shd w:val="clear" w:color="auto" w:fill="FFFFFF"/>
              </w:rPr>
              <w:t>No copie y pegue estos objetivos en su propuesta técnica. S</w:t>
            </w:r>
            <w:r w:rsidR="006802FC" w:rsidRPr="00AD33F2">
              <w:rPr>
                <w:rStyle w:val="normaltextrun"/>
                <w:rFonts w:ascii="Arial" w:hAnsi="Arial"/>
                <w:color w:val="000000"/>
                <w:shd w:val="clear" w:color="auto" w:fill="FFFFFF"/>
              </w:rPr>
              <w:t>o</w:t>
            </w:r>
            <w:r w:rsidRPr="00AD33F2">
              <w:rPr>
                <w:rStyle w:val="normaltextrun"/>
                <w:rFonts w:ascii="Arial" w:hAnsi="Arial"/>
                <w:color w:val="000000"/>
                <w:shd w:val="clear" w:color="auto" w:fill="FFFFFF"/>
              </w:rPr>
              <w:t>lo tendrá que remitirse a este SOW si desea hacer referencia a los objetivos (p. ej</w:t>
            </w:r>
            <w:r w:rsidR="006802FC" w:rsidRPr="00AD33F2">
              <w:rPr>
                <w:rStyle w:val="normaltextrun"/>
                <w:rFonts w:ascii="Arial" w:hAnsi="Arial"/>
                <w:color w:val="000000"/>
                <w:shd w:val="clear" w:color="auto" w:fill="FFFFFF"/>
              </w:rPr>
              <w:t>.</w:t>
            </w:r>
            <w:r w:rsidRPr="00AD33F2">
              <w:rPr>
                <w:rStyle w:val="normaltextrun"/>
                <w:rFonts w:ascii="Arial" w:hAnsi="Arial"/>
                <w:color w:val="000000"/>
                <w:shd w:val="clear" w:color="auto" w:fill="FFFFFF"/>
              </w:rPr>
              <w:t xml:space="preserve">, para alcanzar los </w:t>
            </w:r>
            <w:proofErr w:type="gramStart"/>
            <w:r w:rsidRPr="00AD33F2">
              <w:rPr>
                <w:rStyle w:val="normaltextrun"/>
                <w:rFonts w:ascii="Arial" w:hAnsi="Arial"/>
                <w:color w:val="000000"/>
                <w:shd w:val="clear" w:color="auto" w:fill="FFFFFF"/>
              </w:rPr>
              <w:t>objetivos  I</w:t>
            </w:r>
            <w:proofErr w:type="gramEnd"/>
            <w:r w:rsidRPr="00AD33F2">
              <w:rPr>
                <w:rStyle w:val="normaltextrun"/>
                <w:rFonts w:ascii="Arial" w:hAnsi="Arial"/>
                <w:color w:val="000000"/>
                <w:shd w:val="clear" w:color="auto" w:fill="FFFFFF"/>
              </w:rPr>
              <w:t>, II, III, y IV del SOW, proponemos ...). </w:t>
            </w:r>
            <w:r w:rsidRPr="00AD33F2">
              <w:rPr>
                <w:rStyle w:val="eop"/>
                <w:rFonts w:ascii="Arial" w:hAnsi="Arial"/>
                <w:color w:val="000000"/>
                <w:shd w:val="clear" w:color="auto" w:fill="FFFFFF"/>
              </w:rPr>
              <w:t> </w:t>
            </w:r>
          </w:p>
        </w:tc>
      </w:tr>
    </w:tbl>
    <w:p w14:paraId="121BF301" w14:textId="77777777" w:rsidR="00251F14" w:rsidRPr="00AD33F2" w:rsidRDefault="00251F14" w:rsidP="00724F54">
      <w:pPr>
        <w:spacing w:before="0"/>
        <w:ind w:right="10"/>
        <w:jc w:val="both"/>
      </w:pPr>
    </w:p>
    <w:p w14:paraId="74D54C5F" w14:textId="77777777" w:rsidR="001844C2" w:rsidRPr="00AD33F2" w:rsidRDefault="001844C2" w:rsidP="001844C2">
      <w:pPr>
        <w:ind w:right="10"/>
        <w:jc w:val="both"/>
      </w:pPr>
      <w:r w:rsidRPr="00AD33F2">
        <w:t xml:space="preserve">El estudio se centrará en las siguientes cuestiones clave: </w:t>
      </w:r>
    </w:p>
    <w:p w14:paraId="6813B004" w14:textId="77777777" w:rsidR="001844C2" w:rsidRPr="00AD33F2" w:rsidRDefault="001844C2" w:rsidP="001844C2">
      <w:pPr>
        <w:numPr>
          <w:ilvl w:val="0"/>
          <w:numId w:val="6"/>
        </w:numPr>
        <w:ind w:right="10"/>
        <w:jc w:val="both"/>
      </w:pPr>
      <w:r w:rsidRPr="00AD33F2">
        <w:rPr>
          <w:b/>
          <w:bCs/>
        </w:rPr>
        <w:t xml:space="preserve">Costo y diseño: </w:t>
      </w:r>
      <w:r w:rsidRPr="00AD33F2">
        <w:t xml:space="preserve">¿cuáles son los factores de costo del programa? ¿Cómo afecta el diseño del programa a la equidad? </w:t>
      </w:r>
    </w:p>
    <w:p w14:paraId="56548A2E" w14:textId="77777777" w:rsidR="001844C2" w:rsidRPr="00AD33F2" w:rsidRDefault="001844C2" w:rsidP="001844C2">
      <w:pPr>
        <w:numPr>
          <w:ilvl w:val="0"/>
          <w:numId w:val="6"/>
        </w:numPr>
        <w:ind w:right="10"/>
        <w:jc w:val="both"/>
      </w:pPr>
      <w:r w:rsidRPr="00AD33F2">
        <w:t>Eficiencia y rentabilidad: ¿Se han asignado los recursos de forma equitativa a los individuos/grupos marginados y a los destinatarios previstos? ¿Cuál es la rentabilidad del programa con respecto a otros programas del MPCA?</w:t>
      </w:r>
    </w:p>
    <w:p w14:paraId="0445E2CD" w14:textId="77777777" w:rsidR="001844C2" w:rsidRPr="00AD33F2" w:rsidRDefault="001844C2" w:rsidP="001844C2">
      <w:pPr>
        <w:numPr>
          <w:ilvl w:val="0"/>
          <w:numId w:val="6"/>
        </w:numPr>
        <w:ind w:right="10"/>
        <w:jc w:val="both"/>
      </w:pPr>
      <w:r w:rsidRPr="00AD33F2">
        <w:t xml:space="preserve">Eficacia: ¿Ha logrado el programa los resultados previstos? ¿Ha abordado el programa los obstáculos a la inclusión identificados originalmente? </w:t>
      </w:r>
    </w:p>
    <w:p w14:paraId="081A8F05" w14:textId="77777777" w:rsidR="001844C2" w:rsidRPr="00AD33F2" w:rsidRDefault="001844C2" w:rsidP="001844C2">
      <w:pPr>
        <w:numPr>
          <w:ilvl w:val="0"/>
          <w:numId w:val="6"/>
        </w:numPr>
        <w:ind w:right="10"/>
        <w:jc w:val="both"/>
      </w:pPr>
      <w:r w:rsidRPr="00AD33F2">
        <w:rPr>
          <w:b/>
        </w:rPr>
        <w:lastRenderedPageBreak/>
        <w:t>VfM</w:t>
      </w:r>
      <w:r w:rsidRPr="00AD33F2">
        <w:t>: ¿Cómo puede el consorcio VEzperza utilizar los datos de GpV para saber cómo asignar recursos de forma eficiente y eficaz?</w:t>
      </w:r>
    </w:p>
    <w:p w14:paraId="754B6B57" w14:textId="4E3C81E4" w:rsidR="001844C2" w:rsidRPr="00AD33F2" w:rsidRDefault="001844C2" w:rsidP="00724F54">
      <w:pPr>
        <w:pStyle w:val="Heading2"/>
      </w:pPr>
      <w:r w:rsidRPr="00AD33F2">
        <w:t>Documentos pertinentes</w:t>
      </w:r>
      <w:r w:rsidRPr="00AD33F2">
        <w:tab/>
      </w:r>
    </w:p>
    <w:p w14:paraId="6961E270" w14:textId="77777777" w:rsidR="001844C2" w:rsidRPr="00AD33F2" w:rsidRDefault="001844C2" w:rsidP="001844C2">
      <w:pPr>
        <w:jc w:val="both"/>
      </w:pPr>
      <w:r w:rsidRPr="00AD33F2">
        <w:t xml:space="preserve">Se adjuntan a este SOW: </w:t>
      </w:r>
    </w:p>
    <w:p w14:paraId="30AC368F" w14:textId="77777777" w:rsidR="004A540E" w:rsidRPr="00AD33F2" w:rsidRDefault="00D172B2">
      <w:pPr>
        <w:numPr>
          <w:ilvl w:val="0"/>
          <w:numId w:val="1"/>
        </w:numPr>
      </w:pPr>
      <w:r w:rsidRPr="00AD33F2">
        <w:t>Propuesta de programa e informes narrativos recientes</w:t>
      </w:r>
    </w:p>
    <w:p w14:paraId="59B5E39D" w14:textId="77777777" w:rsidR="004A540E" w:rsidRPr="00AD33F2" w:rsidRDefault="00D172B2">
      <w:pPr>
        <w:numPr>
          <w:ilvl w:val="0"/>
          <w:numId w:val="1"/>
        </w:numPr>
      </w:pPr>
      <w:r w:rsidRPr="00AD33F2">
        <w:t xml:space="preserve">Plan de MEL </w:t>
      </w:r>
    </w:p>
    <w:p w14:paraId="31E9EBCE" w14:textId="77777777" w:rsidR="004A540E" w:rsidRPr="00AD33F2" w:rsidRDefault="00D172B2">
      <w:pPr>
        <w:numPr>
          <w:ilvl w:val="0"/>
          <w:numId w:val="1"/>
        </w:numPr>
      </w:pPr>
      <w:r w:rsidRPr="00AD33F2">
        <w:t>Última tabla de seguimiento del rendimiento de los indicadores (IPTT) y registro de TolaData del Programa</w:t>
      </w:r>
    </w:p>
    <w:p w14:paraId="76081BA5" w14:textId="77777777" w:rsidR="004A540E" w:rsidRPr="00AD33F2" w:rsidRDefault="00D172B2">
      <w:pPr>
        <w:numPr>
          <w:ilvl w:val="0"/>
          <w:numId w:val="1"/>
        </w:numPr>
      </w:pPr>
      <w:r w:rsidRPr="00AD33F2">
        <w:t>Presupuesto del programa y lista de transacciones</w:t>
      </w:r>
    </w:p>
    <w:p w14:paraId="301972AB" w14:textId="77777777" w:rsidR="004A540E" w:rsidRPr="00AD33F2" w:rsidRDefault="00D172B2">
      <w:pPr>
        <w:numPr>
          <w:ilvl w:val="0"/>
          <w:numId w:val="1"/>
        </w:numPr>
      </w:pPr>
      <w:r w:rsidRPr="00AD33F2">
        <w:t>Informes de MEL, que incluyen la línea de base, la línea intermedia, la línea final y el monitoreo posterior a la distribución (PDM)</w:t>
      </w:r>
    </w:p>
    <w:p w14:paraId="5B50C8FC" w14:textId="77777777" w:rsidR="004A540E" w:rsidRPr="00AD33F2" w:rsidRDefault="00D172B2">
      <w:pPr>
        <w:numPr>
          <w:ilvl w:val="0"/>
          <w:numId w:val="1"/>
        </w:numPr>
      </w:pPr>
      <w:r w:rsidRPr="00AD33F2">
        <w:t>Metodología de selección de participantes</w:t>
      </w:r>
    </w:p>
    <w:p w14:paraId="373A35B4" w14:textId="552BEAE3" w:rsidR="005D3FB5" w:rsidRPr="00AD33F2" w:rsidRDefault="005D3FB5">
      <w:pPr>
        <w:numPr>
          <w:ilvl w:val="0"/>
          <w:numId w:val="1"/>
        </w:numPr>
      </w:pPr>
      <w:r w:rsidRPr="00AD33F2">
        <w:t xml:space="preserve">Directrices para los procesos de adquisición </w:t>
      </w:r>
    </w:p>
    <w:p w14:paraId="7D8996BD" w14:textId="4F6B2C08" w:rsidR="0039051B" w:rsidRPr="00AD33F2" w:rsidRDefault="00D65FC1" w:rsidP="00724F54">
      <w:pPr>
        <w:pStyle w:val="Heading2"/>
      </w:pPr>
      <w:proofErr w:type="spellStart"/>
      <w:r w:rsidRPr="00AD33F2">
        <w:t>VfM</w:t>
      </w:r>
      <w:proofErr w:type="spellEnd"/>
      <w:r w:rsidR="006802FC" w:rsidRPr="00AD33F2">
        <w:t>; d</w:t>
      </w:r>
      <w:r w:rsidR="00D172B2" w:rsidRPr="00AD33F2">
        <w:t>iseño y métodos</w:t>
      </w:r>
    </w:p>
    <w:p w14:paraId="510D5AFB" w14:textId="3E39BD56" w:rsidR="0039051B" w:rsidRPr="00AD33F2" w:rsidRDefault="0039051B" w:rsidP="00724F54">
      <w:pPr>
        <w:pStyle w:val="Heading2"/>
        <w:numPr>
          <w:ilvl w:val="1"/>
          <w:numId w:val="8"/>
        </w:numPr>
      </w:pPr>
      <w:r w:rsidRPr="00AD33F2">
        <w:t>Metodología y métricas de GpC</w:t>
      </w:r>
    </w:p>
    <w:p w14:paraId="27B47087" w14:textId="28578E7A" w:rsidR="00DF1655" w:rsidRPr="00AD33F2" w:rsidRDefault="00D172B2">
      <w:pPr>
        <w:jc w:val="both"/>
      </w:pPr>
      <w:r w:rsidRPr="00AD33F2">
        <w:t xml:space="preserve">El estudio utilizará el marco de GpC elaborado por Mercy Corps, que comprende un modelo teórico de GpC (basado en las 4E de FCDO), parámetros (p. ej., ratio de transferencia de costos, costo por producto) y método de análisis de costos (p. ej., categorías de costos definidas). </w:t>
      </w:r>
      <w:r w:rsidRPr="00AD33F2">
        <w:rPr>
          <w:u w:val="single"/>
        </w:rPr>
        <w:t>El marco se basa en las 4E del FCDO: economía, eficiencia, eficacia y equidad.</w:t>
      </w:r>
      <w:r w:rsidRPr="00AD33F2">
        <w:t xml:space="preserve"> </w:t>
      </w:r>
    </w:p>
    <w:p w14:paraId="40C4D1B0" w14:textId="77777777" w:rsidR="00DF1655" w:rsidRPr="00AD33F2" w:rsidRDefault="00D172B2">
      <w:pPr>
        <w:jc w:val="both"/>
      </w:pPr>
      <w:r w:rsidRPr="00AD33F2">
        <w:t xml:space="preserve">El análisis utiliza el método de análisis de costos Dioptra como columna vertebral para clasificar los costos y una serie de métricas para evaluar la VfM del programa. </w:t>
      </w:r>
      <w:r w:rsidRPr="00AD33F2">
        <w:rPr>
          <w:u w:val="single"/>
        </w:rPr>
        <w:t>No está prevista ninguna recopilación de datos adicional más allá de las entrevistas con los miembros del personal.</w:t>
      </w:r>
      <w:r w:rsidRPr="00AD33F2">
        <w:t xml:space="preserve"> </w:t>
      </w:r>
    </w:p>
    <w:p w14:paraId="1A091EDE" w14:textId="5D850D17" w:rsidR="004A540E" w:rsidRPr="00AD33F2" w:rsidRDefault="00DF1655">
      <w:pPr>
        <w:jc w:val="both"/>
      </w:pPr>
      <w:r w:rsidRPr="00AD33F2">
        <w:rPr>
          <w:u w:val="single"/>
        </w:rPr>
        <w:t>Además del uso de sus propias herramientas analíticas, se espera que el consultor utilice</w:t>
      </w:r>
      <w:r w:rsidRPr="00AD33F2">
        <w:t xml:space="preserve"> </w:t>
      </w:r>
      <w:hyperlink r:id="rId11" w:history="1">
        <w:r w:rsidRPr="00AD33F2">
          <w:rPr>
            <w:rStyle w:val="Hyperlink"/>
          </w:rPr>
          <w:t>Dioptra</w:t>
        </w:r>
      </w:hyperlink>
      <w:r w:rsidRPr="00AD33F2">
        <w:rPr>
          <w:u w:val="single"/>
        </w:rPr>
        <w:t xml:space="preserve"> para el análisis de costos y la capacitación correrá a cargo del personal de Mercy Corps.</w:t>
      </w:r>
      <w:r w:rsidRPr="00AD33F2">
        <w:t xml:space="preserve"> El método incluye métricas sugeridas y esta consultoría podrá añadir nuevas métricas en el análisis si lo considera necesario. El análisis explorará los siguientes aspectos:</w:t>
      </w:r>
    </w:p>
    <w:p w14:paraId="5FABF7B6" w14:textId="0152CB18" w:rsidR="004A540E" w:rsidRPr="00AD33F2" w:rsidRDefault="00D172B2">
      <w:pPr>
        <w:numPr>
          <w:ilvl w:val="0"/>
          <w:numId w:val="3"/>
        </w:numPr>
        <w:jc w:val="both"/>
      </w:pPr>
      <w:r w:rsidRPr="00AD33F2">
        <w:t>Costos y diseño</w:t>
      </w:r>
      <w:r w:rsidR="006802FC" w:rsidRPr="00AD33F2">
        <w:t xml:space="preserve">: </w:t>
      </w:r>
      <w:r w:rsidRPr="00AD33F2">
        <w:t xml:space="preserve">Identificación de la composición de la asignación de costos entre las categorías de costos con el fin de identificar los generadores de costos. Esto incluirá aspectos relacionados con el diseño del programa y cómo ha contribuido la selección de grupos marginados a la asignación de costos. </w:t>
      </w:r>
    </w:p>
    <w:p w14:paraId="4E48066D" w14:textId="77777777" w:rsidR="004A540E" w:rsidRPr="00AD33F2" w:rsidRDefault="00D172B2">
      <w:pPr>
        <w:jc w:val="both"/>
      </w:pPr>
      <w:r w:rsidRPr="00AD33F2">
        <w:rPr>
          <w:i/>
          <w:iCs/>
        </w:rPr>
        <w:t>Medida sugerida:</w:t>
      </w:r>
      <w:r w:rsidRPr="00AD33F2">
        <w:t xml:space="preserve"> </w:t>
      </w:r>
      <w:r w:rsidRPr="00AD33F2">
        <w:rPr>
          <w:b/>
          <w:bCs/>
        </w:rPr>
        <w:t>costo de una categoría como % del costo total.</w:t>
      </w:r>
    </w:p>
    <w:p w14:paraId="6A107C4D" w14:textId="169EC618" w:rsidR="004A540E" w:rsidRPr="00AD33F2" w:rsidRDefault="00D172B2">
      <w:pPr>
        <w:numPr>
          <w:ilvl w:val="0"/>
          <w:numId w:val="3"/>
        </w:numPr>
        <w:jc w:val="both"/>
      </w:pPr>
      <w:r w:rsidRPr="00AD33F2">
        <w:t>Eficiencia</w:t>
      </w:r>
      <w:r w:rsidR="006802FC" w:rsidRPr="00AD33F2">
        <w:t>:</w:t>
      </w:r>
      <w:r w:rsidRPr="00AD33F2">
        <w:t xml:space="preserve"> Cuantificar la entrega de bienes y servicios a los participantes y el costo de adoptar un alcance equitativo. </w:t>
      </w:r>
    </w:p>
    <w:p w14:paraId="0B5C2C07" w14:textId="77777777" w:rsidR="004A540E" w:rsidRPr="00AD33F2" w:rsidRDefault="00D172B2">
      <w:pPr>
        <w:jc w:val="both"/>
      </w:pPr>
      <w:r w:rsidRPr="00AD33F2">
        <w:t xml:space="preserve">Métrica sugerida: </w:t>
      </w:r>
      <w:r w:rsidRPr="00AD33F2">
        <w:rPr>
          <w:b/>
          <w:bCs/>
        </w:rPr>
        <w:t>costo por dólar transferido; costo por persona atendida a través de la asistencia del MPCA; costo por persona marginada atendida a través del programa</w:t>
      </w:r>
      <w:r w:rsidRPr="00AD33F2">
        <w:t xml:space="preserve"> (si el desglose presupuestario lo permite).</w:t>
      </w:r>
    </w:p>
    <w:p w14:paraId="44E2A370" w14:textId="47A40870" w:rsidR="004A540E" w:rsidRPr="00AD33F2" w:rsidRDefault="00D172B2">
      <w:pPr>
        <w:numPr>
          <w:ilvl w:val="0"/>
          <w:numId w:val="3"/>
        </w:numPr>
        <w:jc w:val="both"/>
      </w:pPr>
      <w:r w:rsidRPr="00AD33F2">
        <w:lastRenderedPageBreak/>
        <w:t>Eficacia</w:t>
      </w:r>
      <w:r w:rsidR="006802FC" w:rsidRPr="00AD33F2">
        <w:t>:</w:t>
      </w:r>
      <w:r w:rsidRPr="00AD33F2">
        <w:t xml:space="preserve"> Cuantificación del logro de los resultados del proyecto, incluidos los resultados que abordan las barreras estructurales, y la probabilidad de que los resultados se mantengan a lo largo del tiempo.</w:t>
      </w:r>
    </w:p>
    <w:p w14:paraId="5FD2665E" w14:textId="77777777" w:rsidR="004A540E" w:rsidRPr="00AD33F2" w:rsidRDefault="00D172B2">
      <w:pPr>
        <w:jc w:val="both"/>
      </w:pPr>
      <w:r w:rsidRPr="00AD33F2">
        <w:t xml:space="preserve">Métrica sugerida: </w:t>
      </w:r>
      <w:r w:rsidRPr="00AD33F2">
        <w:rPr>
          <w:b/>
          <w:bCs/>
        </w:rPr>
        <w:t>porcentaje de cumplimiento real/objetivo de los indicadores a nivel de resultados; costo por unidad de resultado</w:t>
      </w:r>
      <w:r w:rsidRPr="00AD33F2">
        <w:t xml:space="preserve"> (para identificar sobre la base del marco lógico); </w:t>
      </w:r>
      <w:r w:rsidRPr="00AD33F2">
        <w:rPr>
          <w:b/>
          <w:bCs/>
        </w:rPr>
        <w:t>porcentaje de cumplimiento real/objetivo de los indicadores de resultados que abordan las barreras y los desequilibrios identificados.</w:t>
      </w:r>
    </w:p>
    <w:p w14:paraId="02F05EDB" w14:textId="34244DD7" w:rsidR="0039051B" w:rsidRPr="00AD33F2" w:rsidRDefault="006802FC" w:rsidP="00724F54">
      <w:pPr>
        <w:pStyle w:val="Heading2"/>
        <w:numPr>
          <w:ilvl w:val="1"/>
          <w:numId w:val="8"/>
        </w:numPr>
      </w:pPr>
      <w:r w:rsidRPr="00AD33F2">
        <w:t>An</w:t>
      </w:r>
      <w:r w:rsidR="0039051B" w:rsidRPr="00AD33F2">
        <w:t xml:space="preserve">álisis </w:t>
      </w:r>
      <w:r w:rsidRPr="00AD33F2">
        <w:t xml:space="preserve">de </w:t>
      </w:r>
      <w:proofErr w:type="spellStart"/>
      <w:r w:rsidR="0039051B" w:rsidRPr="00AD33F2">
        <w:t>VfM</w:t>
      </w:r>
      <w:proofErr w:type="spellEnd"/>
      <w:r w:rsidR="0039051B" w:rsidRPr="00AD33F2">
        <w:t xml:space="preserve">  </w:t>
      </w:r>
    </w:p>
    <w:p w14:paraId="5A73B78C" w14:textId="20C9475F" w:rsidR="0039051B" w:rsidRPr="00AD33F2" w:rsidRDefault="0039051B" w:rsidP="0039051B">
      <w:pPr>
        <w:widowControl w:val="0"/>
        <w:jc w:val="both"/>
      </w:pPr>
      <w:r w:rsidRPr="00AD33F2">
        <w:t xml:space="preserve">El análisis </w:t>
      </w:r>
      <w:r w:rsidR="006802FC" w:rsidRPr="00AD33F2">
        <w:t xml:space="preserve">de </w:t>
      </w:r>
      <w:r w:rsidRPr="00AD33F2">
        <w:t>VfM será una combinación de</w:t>
      </w:r>
      <w:r w:rsidR="006802FC" w:rsidRPr="00AD33F2">
        <w:t>:</w:t>
      </w:r>
      <w:r w:rsidRPr="00AD33F2">
        <w:t xml:space="preserve"> </w:t>
      </w:r>
    </w:p>
    <w:p w14:paraId="24555459" w14:textId="5C94EA65" w:rsidR="0039051B" w:rsidRPr="00AD33F2" w:rsidRDefault="006802FC" w:rsidP="0039051B">
      <w:pPr>
        <w:pStyle w:val="ListParagraph"/>
        <w:widowControl w:val="0"/>
        <w:numPr>
          <w:ilvl w:val="0"/>
          <w:numId w:val="12"/>
        </w:numPr>
        <w:jc w:val="both"/>
        <w:rPr>
          <w:rFonts w:ascii="Arial" w:hAnsi="Arial" w:cs="Arial"/>
        </w:rPr>
      </w:pPr>
      <w:r w:rsidRPr="00AD33F2">
        <w:rPr>
          <w:rFonts w:ascii="Arial" w:hAnsi="Arial"/>
        </w:rPr>
        <w:t>e</w:t>
      </w:r>
      <w:r w:rsidR="0039051B" w:rsidRPr="00AD33F2">
        <w:rPr>
          <w:rFonts w:ascii="Arial" w:hAnsi="Arial"/>
        </w:rPr>
        <w:t>ntrevistas cualitativas y discusiones de grupo con el equipo del programa, colaboradores clave</w:t>
      </w:r>
      <w:r w:rsidRPr="00AD33F2">
        <w:rPr>
          <w:rFonts w:ascii="Arial" w:hAnsi="Arial"/>
        </w:rPr>
        <w:t>;</w:t>
      </w:r>
    </w:p>
    <w:p w14:paraId="7891A6AE" w14:textId="57F0FFBA" w:rsidR="0039051B" w:rsidRPr="00AD33F2" w:rsidRDefault="006802FC" w:rsidP="0039051B">
      <w:pPr>
        <w:pStyle w:val="ListParagraph"/>
        <w:widowControl w:val="0"/>
        <w:numPr>
          <w:ilvl w:val="0"/>
          <w:numId w:val="12"/>
        </w:numPr>
        <w:jc w:val="both"/>
        <w:rPr>
          <w:rFonts w:ascii="Arial" w:hAnsi="Arial" w:cs="Arial"/>
        </w:rPr>
      </w:pPr>
      <w:r w:rsidRPr="00AD33F2">
        <w:rPr>
          <w:rFonts w:ascii="Arial" w:hAnsi="Arial"/>
        </w:rPr>
        <w:t>a</w:t>
      </w:r>
      <w:r w:rsidR="0039051B" w:rsidRPr="00AD33F2">
        <w:rPr>
          <w:rFonts w:ascii="Arial" w:hAnsi="Arial"/>
        </w:rPr>
        <w:t>nálisis de la IPTT (resultados reales frente a objetivos)</w:t>
      </w:r>
      <w:r w:rsidRPr="00AD33F2">
        <w:rPr>
          <w:rFonts w:ascii="Arial" w:hAnsi="Arial"/>
        </w:rPr>
        <w:t>;</w:t>
      </w:r>
      <w:r w:rsidR="0039051B" w:rsidRPr="00AD33F2">
        <w:rPr>
          <w:rFonts w:ascii="Arial" w:hAnsi="Arial"/>
        </w:rPr>
        <w:t xml:space="preserve"> </w:t>
      </w:r>
    </w:p>
    <w:p w14:paraId="28DD840E" w14:textId="538F7702" w:rsidR="00F00228" w:rsidRPr="00AD33F2" w:rsidRDefault="006802FC" w:rsidP="0039051B">
      <w:pPr>
        <w:pStyle w:val="ListParagraph"/>
        <w:widowControl w:val="0"/>
        <w:numPr>
          <w:ilvl w:val="0"/>
          <w:numId w:val="12"/>
        </w:numPr>
        <w:jc w:val="both"/>
        <w:rPr>
          <w:rFonts w:ascii="Arial" w:hAnsi="Arial" w:cs="Arial"/>
        </w:rPr>
      </w:pPr>
      <w:r w:rsidRPr="00AD33F2">
        <w:rPr>
          <w:rFonts w:ascii="Arial" w:hAnsi="Arial"/>
        </w:rPr>
        <w:t>r</w:t>
      </w:r>
      <w:r w:rsidR="0039051B" w:rsidRPr="00AD33F2">
        <w:rPr>
          <w:rFonts w:ascii="Arial" w:hAnsi="Arial"/>
        </w:rPr>
        <w:t>evisión del cumplimiento del plan de trabajo</w:t>
      </w:r>
      <w:r w:rsidRPr="00AD33F2">
        <w:rPr>
          <w:rFonts w:ascii="Arial" w:hAnsi="Arial"/>
        </w:rPr>
        <w:t>;</w:t>
      </w:r>
    </w:p>
    <w:p w14:paraId="06B464F0" w14:textId="33997780" w:rsidR="0039051B" w:rsidRPr="00AD33F2" w:rsidRDefault="006802FC" w:rsidP="0039051B">
      <w:pPr>
        <w:pStyle w:val="ListParagraph"/>
        <w:widowControl w:val="0"/>
        <w:numPr>
          <w:ilvl w:val="0"/>
          <w:numId w:val="12"/>
        </w:numPr>
        <w:jc w:val="both"/>
        <w:rPr>
          <w:rFonts w:ascii="Arial" w:hAnsi="Arial" w:cs="Arial"/>
        </w:rPr>
      </w:pPr>
      <w:r w:rsidRPr="00AD33F2">
        <w:rPr>
          <w:rFonts w:ascii="Arial" w:hAnsi="Arial"/>
        </w:rPr>
        <w:t>R</w:t>
      </w:r>
      <w:r w:rsidR="00F00228" w:rsidRPr="00AD33F2">
        <w:rPr>
          <w:rFonts w:ascii="Arial" w:hAnsi="Arial"/>
        </w:rPr>
        <w:t xml:space="preserve">evisión del </w:t>
      </w:r>
      <w:proofErr w:type="spellStart"/>
      <w:r w:rsidR="00F00228" w:rsidRPr="00AD33F2">
        <w:rPr>
          <w:rFonts w:ascii="Arial" w:hAnsi="Arial"/>
        </w:rPr>
        <w:t>BvA</w:t>
      </w:r>
      <w:proofErr w:type="spellEnd"/>
      <w:r w:rsidR="00F00228" w:rsidRPr="00AD33F2">
        <w:rPr>
          <w:rFonts w:ascii="Arial" w:hAnsi="Arial"/>
        </w:rPr>
        <w:t xml:space="preserve"> (presupuesto frente a cifras reales)</w:t>
      </w:r>
      <w:r w:rsidRPr="00AD33F2">
        <w:rPr>
          <w:rFonts w:ascii="Arial" w:hAnsi="Arial"/>
        </w:rPr>
        <w:t>;</w:t>
      </w:r>
    </w:p>
    <w:p w14:paraId="51910B40" w14:textId="218A49A3" w:rsidR="0039051B" w:rsidRPr="00AD33F2" w:rsidRDefault="006802FC" w:rsidP="0039051B">
      <w:pPr>
        <w:pStyle w:val="ListParagraph"/>
        <w:widowControl w:val="0"/>
        <w:numPr>
          <w:ilvl w:val="0"/>
          <w:numId w:val="12"/>
        </w:numPr>
        <w:jc w:val="both"/>
        <w:rPr>
          <w:rFonts w:ascii="Arial" w:hAnsi="Arial" w:cs="Arial"/>
        </w:rPr>
      </w:pPr>
      <w:r w:rsidRPr="00AD33F2">
        <w:rPr>
          <w:rFonts w:ascii="Arial" w:hAnsi="Arial"/>
        </w:rPr>
        <w:t>r</w:t>
      </w:r>
      <w:r w:rsidR="0039051B" w:rsidRPr="00AD33F2">
        <w:rPr>
          <w:rFonts w:ascii="Arial" w:hAnsi="Arial"/>
        </w:rPr>
        <w:t xml:space="preserve">evisión de otros documentos. </w:t>
      </w:r>
    </w:p>
    <w:p w14:paraId="44697BB4" w14:textId="2C3BD555" w:rsidR="0039051B" w:rsidRPr="00AD33F2" w:rsidRDefault="0039051B" w:rsidP="0039051B">
      <w:pPr>
        <w:widowControl w:val="0"/>
        <w:jc w:val="both"/>
      </w:pPr>
      <w:r w:rsidRPr="00AD33F2">
        <w:t>La empresa deberá proponer el número de entrevistas a informantes clave (KII) y/o debates en grupo (GD) necesarios</w:t>
      </w:r>
      <w:r w:rsidR="008C6E76" w:rsidRPr="00AD33F2">
        <w:t xml:space="preserve">, </w:t>
      </w:r>
      <w:r w:rsidRPr="00AD33F2">
        <w:t>y describir con quién se realizarán y por qué. Deberá emplearse software cualitativo para analizar las KII, GD. La empresa debe</w:t>
      </w:r>
      <w:r w:rsidR="008C6E76" w:rsidRPr="00AD33F2">
        <w:t>rá</w:t>
      </w:r>
      <w:r w:rsidRPr="00AD33F2">
        <w:t xml:space="preserve"> </w:t>
      </w:r>
      <w:r w:rsidR="008C6E76" w:rsidRPr="00AD33F2">
        <w:t xml:space="preserve">indicar </w:t>
      </w:r>
      <w:r w:rsidRPr="00AD33F2">
        <w:t xml:space="preserve">la forma en que se propone organizar, analizar e interpretar estas diversas fuentes de datos (incluida la forma en que </w:t>
      </w:r>
      <w:r w:rsidR="008C6E76" w:rsidRPr="00AD33F2">
        <w:t xml:space="preserve">podrá </w:t>
      </w:r>
      <w:r w:rsidRPr="00AD33F2">
        <w:t xml:space="preserve">triangular los datos cuando proceda). </w:t>
      </w:r>
    </w:p>
    <w:p w14:paraId="3DAF9F07" w14:textId="3C55A54D" w:rsidR="00DF1655" w:rsidRPr="00AD33F2" w:rsidRDefault="00DF1655" w:rsidP="00724F54">
      <w:pPr>
        <w:pStyle w:val="Heading2"/>
      </w:pPr>
      <w:r w:rsidRPr="00724F54">
        <w:t xml:space="preserve">Qué proporcionará </w:t>
      </w:r>
      <w:proofErr w:type="spellStart"/>
      <w:r w:rsidRPr="00724F54">
        <w:t>Mercy</w:t>
      </w:r>
      <w:proofErr w:type="spellEnd"/>
      <w:r w:rsidRPr="00724F54">
        <w:t xml:space="preserve"> Corps </w:t>
      </w:r>
    </w:p>
    <w:p w14:paraId="4ED28270" w14:textId="1F8AED29" w:rsidR="00DF1655" w:rsidRPr="00AD33F2" w:rsidRDefault="00DF1655" w:rsidP="00724F54">
      <w:pPr>
        <w:widowControl w:val="0"/>
        <w:jc w:val="both"/>
      </w:pPr>
      <w:proofErr w:type="spellStart"/>
      <w:r w:rsidRPr="00AD33F2">
        <w:t>Mercy</w:t>
      </w:r>
      <w:proofErr w:type="spellEnd"/>
      <w:r w:rsidRPr="00AD33F2">
        <w:t xml:space="preserve"> Corps</w:t>
      </w:r>
      <w:r w:rsidR="008C6E76" w:rsidRPr="00AD33F2">
        <w:t>:</w:t>
      </w:r>
    </w:p>
    <w:p w14:paraId="4F299FFA" w14:textId="2898DF13" w:rsidR="00DF1655" w:rsidRPr="00724F54" w:rsidRDefault="00DF1655" w:rsidP="00724F54">
      <w:pPr>
        <w:numPr>
          <w:ilvl w:val="0"/>
          <w:numId w:val="1"/>
        </w:numPr>
      </w:pPr>
      <w:r w:rsidRPr="00724F54">
        <w:t>proporcionará apoyo para determinar la documentación que debe revisarse y cómo deben interpretarse los datos</w:t>
      </w:r>
      <w:r w:rsidRPr="00AD33F2">
        <w:t>;</w:t>
      </w:r>
    </w:p>
    <w:p w14:paraId="0AEB2B31" w14:textId="1B335D0D" w:rsidR="00DF1655" w:rsidRPr="00724F54" w:rsidRDefault="00DF1655" w:rsidP="00724F54">
      <w:pPr>
        <w:numPr>
          <w:ilvl w:val="0"/>
          <w:numId w:val="1"/>
        </w:numPr>
      </w:pPr>
      <w:r w:rsidRPr="00AD33F2">
        <w:t>proporcionará una estructura metodológica basada en el marco de</w:t>
      </w:r>
      <w:r w:rsidRPr="00724F54">
        <w:t xml:space="preserve"> VfM</w:t>
      </w:r>
      <w:r w:rsidRPr="00AD33F2">
        <w:t xml:space="preserve"> de MC</w:t>
      </w:r>
      <w:r w:rsidRPr="00724F54">
        <w:t>. Se espera que el consultor la amplíe</w:t>
      </w:r>
      <w:r w:rsidRPr="00AD33F2">
        <w:t>;</w:t>
      </w:r>
    </w:p>
    <w:p w14:paraId="3E56EA8D" w14:textId="50D905C4" w:rsidR="00DF1655" w:rsidRPr="00724F54" w:rsidRDefault="00DF1655" w:rsidP="00724F54">
      <w:pPr>
        <w:numPr>
          <w:ilvl w:val="0"/>
          <w:numId w:val="1"/>
        </w:numPr>
      </w:pPr>
      <w:r w:rsidRPr="00724F54">
        <w:t>proporcionará apoyo para recopilar cualquier dato adicional necesario para el análisis de costos</w:t>
      </w:r>
      <w:r w:rsidRPr="00AD33F2">
        <w:t>;</w:t>
      </w:r>
    </w:p>
    <w:p w14:paraId="23115A2A" w14:textId="602BF71A" w:rsidR="00DF1655" w:rsidRPr="00AD33F2" w:rsidRDefault="00DF1655" w:rsidP="00DF1655">
      <w:pPr>
        <w:numPr>
          <w:ilvl w:val="0"/>
          <w:numId w:val="1"/>
        </w:numPr>
      </w:pPr>
      <w:r w:rsidRPr="00AD33F2">
        <w:t>proporcionará capacitación sobre GpV al equipo de Zandalia. Se espera que el consultor ayude en la preparación y entrega del material.</w:t>
      </w:r>
    </w:p>
    <w:p w14:paraId="3A4A41E2" w14:textId="743E74FA" w:rsidR="00BA2674" w:rsidRPr="00AD33F2" w:rsidRDefault="00BA2674" w:rsidP="00724F54">
      <w:pPr>
        <w:pStyle w:val="Heading2"/>
      </w:pPr>
      <w:r w:rsidRPr="00AD33F2">
        <w:t>Calidad de los datos, seguridad y protección de los sujetos humanos.</w:t>
      </w:r>
    </w:p>
    <w:p w14:paraId="4DCE55C4" w14:textId="6E2B7EB9" w:rsidR="00BA2674" w:rsidRPr="00AD33F2" w:rsidRDefault="00BA2674" w:rsidP="00BA2674">
      <w:pPr>
        <w:pBdr>
          <w:top w:val="nil"/>
          <w:left w:val="nil"/>
          <w:bottom w:val="nil"/>
          <w:right w:val="nil"/>
          <w:between w:val="nil"/>
        </w:pBdr>
        <w:jc w:val="both"/>
        <w:rPr>
          <w:color w:val="000000"/>
        </w:rPr>
      </w:pPr>
      <w:r w:rsidRPr="00AD33F2">
        <w:rPr>
          <w:color w:val="000000"/>
        </w:rPr>
        <w:t>La calidad de los datos no debe verse comprometida, y debe prestarse la máxima atención para evitar o al menos minimizar los errores en todas las fases de la recogida de datos. También debe describirse en la propuesta técnica la protección de la información de identificación personal (IPI)</w:t>
      </w:r>
      <w:r w:rsidR="008C6E76" w:rsidRPr="00AD33F2">
        <w:rPr>
          <w:color w:val="000000"/>
        </w:rPr>
        <w:t xml:space="preserve">, así como </w:t>
      </w:r>
      <w:r w:rsidRPr="00AD33F2">
        <w:rPr>
          <w:color w:val="000000"/>
        </w:rPr>
        <w:t>la seguridad y el bienestar de los participantes (protección de los individuos).</w:t>
      </w:r>
    </w:p>
    <w:p w14:paraId="7FBD11CC" w14:textId="50EDBF57" w:rsidR="00BA2674" w:rsidRPr="00AD33F2" w:rsidRDefault="00BA2674" w:rsidP="00724F54">
      <w:pPr>
        <w:pStyle w:val="Heading2"/>
      </w:pPr>
      <w:r w:rsidRPr="00AD33F2">
        <w:t>Comunicación de resultados/reflexiones.</w:t>
      </w:r>
    </w:p>
    <w:p w14:paraId="1360B7E6" w14:textId="2688FBCC" w:rsidR="00BA2674" w:rsidRPr="00AD33F2" w:rsidRDefault="00BA2674" w:rsidP="00BA2674">
      <w:pPr>
        <w:jc w:val="both"/>
      </w:pPr>
      <w:r w:rsidRPr="00AD33F2">
        <w:lastRenderedPageBreak/>
        <w:t xml:space="preserve">Deberá presentarse un informe final, y la empresa deberá organizar y facilitar una presentación de las conclusiones utilizando un enfoque de creación de sentido al equipo de Zandalia y a otros empleados y colaboradores de Mercy Corps que Mercy Corps considere oportuno. </w:t>
      </w:r>
    </w:p>
    <w:p w14:paraId="007B9E8B" w14:textId="5C47078F" w:rsidR="00BA2674" w:rsidRPr="00AD33F2" w:rsidRDefault="00BA2674" w:rsidP="00724F54">
      <w:pPr>
        <w:pStyle w:val="Heading2"/>
      </w:pPr>
      <w:r w:rsidRPr="00AD33F2">
        <w:t>Composición del equipo.</w:t>
      </w:r>
    </w:p>
    <w:p w14:paraId="4A0FEB29" w14:textId="1EA43DB2" w:rsidR="000B2FA9" w:rsidRPr="00AD33F2" w:rsidRDefault="00BA2674" w:rsidP="000B2FA9">
      <w:pPr>
        <w:tabs>
          <w:tab w:val="left" w:pos="1032"/>
        </w:tabs>
        <w:rPr>
          <w:rStyle w:val="eop"/>
          <w:color w:val="000000"/>
          <w:shd w:val="clear" w:color="auto" w:fill="FFFFFF"/>
        </w:rPr>
      </w:pPr>
      <w:r w:rsidRPr="00AD33F2">
        <w:t>La empresa debe</w:t>
      </w:r>
      <w:r w:rsidR="008C6E76" w:rsidRPr="00AD33F2">
        <w:t>rá</w:t>
      </w:r>
      <w:r w:rsidRPr="00AD33F2">
        <w:t xml:space="preserve"> proponer un equipo eficaz en función de los costos para este análisis. La función de los miembros del equipo debe describirse en la sección II (la propuesta técnica), pero cada miembro del equipo debe enumerarse por cargo/función en la sección III (la "propuesta LOE"). </w:t>
      </w:r>
      <w:r w:rsidRPr="00AD33F2">
        <w:rPr>
          <w:rStyle w:val="normaltextrun"/>
          <w:color w:val="000000"/>
          <w:shd w:val="clear" w:color="auto" w:fill="FFFFFF"/>
        </w:rPr>
        <w:t xml:space="preserve">Tenga en cuenta que </w:t>
      </w:r>
      <w:r w:rsidRPr="00AD33F2">
        <w:rPr>
          <w:rStyle w:val="normaltextrun"/>
          <w:b/>
          <w:bCs/>
          <w:color w:val="000000"/>
          <w:shd w:val="clear" w:color="auto" w:fill="FFFFFF"/>
        </w:rPr>
        <w:t>no es necesario</w:t>
      </w:r>
      <w:r w:rsidRPr="00AD33F2">
        <w:rPr>
          <w:rStyle w:val="normaltextrun"/>
          <w:color w:val="000000"/>
          <w:shd w:val="clear" w:color="auto" w:fill="FFFFFF"/>
        </w:rPr>
        <w:t xml:space="preserve"> que la composición propuesta del equipo </w:t>
      </w:r>
      <w:r w:rsidRPr="00AD33F2">
        <w:rPr>
          <w:rStyle w:val="normaltextrun"/>
          <w:b/>
          <w:bCs/>
          <w:color w:val="000000"/>
          <w:shd w:val="clear" w:color="auto" w:fill="FFFFFF"/>
        </w:rPr>
        <w:t xml:space="preserve">coincida o incluya los dos roles descritos en la sección de presentación de </w:t>
      </w:r>
      <w:proofErr w:type="gramStart"/>
      <w:r w:rsidRPr="00AD33F2">
        <w:rPr>
          <w:rStyle w:val="normaltextrun"/>
          <w:b/>
          <w:bCs/>
          <w:color w:val="000000"/>
          <w:shd w:val="clear" w:color="auto" w:fill="FFFFFF"/>
        </w:rPr>
        <w:t>CV</w:t>
      </w:r>
      <w:r w:rsidR="008C6E76" w:rsidRPr="00AD33F2">
        <w:rPr>
          <w:rStyle w:val="normaltextrun"/>
          <w:color w:val="000000"/>
          <w:shd w:val="clear" w:color="auto" w:fill="FFFFFF"/>
        </w:rPr>
        <w:t xml:space="preserve">; </w:t>
      </w:r>
      <w:r w:rsidRPr="00AD33F2">
        <w:rPr>
          <w:rStyle w:val="normaltextrun"/>
          <w:color w:val="000000"/>
          <w:shd w:val="clear" w:color="auto" w:fill="FFFFFF"/>
        </w:rPr>
        <w:t xml:space="preserve"> los</w:t>
      </w:r>
      <w:proofErr w:type="gramEnd"/>
      <w:r w:rsidRPr="00AD33F2">
        <w:rPr>
          <w:rStyle w:val="normaltextrun"/>
          <w:color w:val="000000"/>
          <w:shd w:val="clear" w:color="auto" w:fill="FFFFFF"/>
        </w:rPr>
        <w:t xml:space="preserve"> dos perfiles descritos en la sección 10 son s</w:t>
      </w:r>
      <w:r w:rsidR="008C6E76" w:rsidRPr="00AD33F2">
        <w:rPr>
          <w:rStyle w:val="normaltextrun"/>
          <w:color w:val="000000"/>
          <w:shd w:val="clear" w:color="auto" w:fill="FFFFFF"/>
        </w:rPr>
        <w:t>o</w:t>
      </w:r>
      <w:r w:rsidRPr="00AD33F2">
        <w:rPr>
          <w:rStyle w:val="normaltextrun"/>
          <w:color w:val="000000"/>
          <w:shd w:val="clear" w:color="auto" w:fill="FFFFFF"/>
        </w:rPr>
        <w:t>lo para las presentaciones de CV.</w:t>
      </w:r>
      <w:r w:rsidRPr="00AD33F2">
        <w:rPr>
          <w:rStyle w:val="eop"/>
          <w:color w:val="000000"/>
          <w:shd w:val="clear" w:color="auto" w:fill="FFFFFF"/>
        </w:rPr>
        <w:t> </w:t>
      </w:r>
    </w:p>
    <w:p w14:paraId="5F0B0C52" w14:textId="6BA9CADA" w:rsidR="000B2FA9" w:rsidRPr="00724F54" w:rsidRDefault="000B2FA9" w:rsidP="00724F54">
      <w:pPr>
        <w:pStyle w:val="Heading2"/>
        <w:rPr>
          <w:rFonts w:ascii="Segoe UI" w:hAnsi="Segoe UI" w:cs="Segoe UI"/>
        </w:rPr>
      </w:pPr>
      <w:r w:rsidRPr="00724F54">
        <w:t>Envíos de CV </w:t>
      </w:r>
    </w:p>
    <w:p w14:paraId="45E48566" w14:textId="1DDF9342" w:rsidR="000B2FA9" w:rsidRPr="00AD33F2" w:rsidRDefault="000B2FA9" w:rsidP="00724F54">
      <w:pPr>
        <w:pStyle w:val="paragraph"/>
        <w:spacing w:before="0" w:beforeAutospacing="0" w:after="240" w:afterAutospacing="0"/>
        <w:textAlignment w:val="baseline"/>
        <w:rPr>
          <w:rFonts w:ascii="Segoe UI" w:hAnsi="Segoe UI" w:cs="Segoe UI"/>
          <w:sz w:val="18"/>
          <w:szCs w:val="18"/>
        </w:rPr>
      </w:pPr>
      <w:r w:rsidRPr="00AD33F2">
        <w:rPr>
          <w:rStyle w:val="normaltextrun"/>
          <w:rFonts w:ascii="Arial" w:hAnsi="Arial"/>
          <w:color w:val="000000"/>
          <w:sz w:val="22"/>
        </w:rPr>
        <w:t xml:space="preserve">Envíe un CV de un miembro actual del personal para las dos funciones que se indican a continuación (2 CV en total como máximo). Utilice la plantilla de CV proporcionada. Las empresas deben </w:t>
      </w:r>
      <w:r w:rsidR="008C6E76" w:rsidRPr="00AD33F2">
        <w:rPr>
          <w:rStyle w:val="normaltextrun"/>
          <w:rFonts w:ascii="Arial" w:hAnsi="Arial"/>
          <w:color w:val="000000"/>
          <w:sz w:val="22"/>
        </w:rPr>
        <w:t xml:space="preserve">proponer </w:t>
      </w:r>
      <w:r w:rsidRPr="00AD33F2">
        <w:rPr>
          <w:rStyle w:val="normaltextrun"/>
          <w:rFonts w:ascii="Arial" w:hAnsi="Arial"/>
          <w:color w:val="000000"/>
          <w:sz w:val="22"/>
        </w:rPr>
        <w:t xml:space="preserve">a los miembros del personal que consideren mejor cualificados para este proyecto. </w:t>
      </w:r>
      <w:r w:rsidRPr="00AD33F2">
        <w:rPr>
          <w:rStyle w:val="normaltextrun"/>
          <w:rFonts w:ascii="Arial" w:hAnsi="Arial"/>
          <w:b/>
          <w:bCs/>
          <w:color w:val="000000"/>
          <w:sz w:val="22"/>
        </w:rPr>
        <w:t>No es necesario que los CV presentados coincidan con las funciones o el personal descritos en la sección "Propuesta de LOE".</w:t>
      </w:r>
      <w:r w:rsidRPr="00AD33F2">
        <w:rPr>
          <w:rStyle w:val="normaltextrun"/>
          <w:rFonts w:ascii="Arial" w:hAnsi="Arial"/>
          <w:color w:val="000000"/>
          <w:sz w:val="22"/>
        </w:rPr>
        <w:t xml:space="preserve"> Envíe los siguientes CV: </w:t>
      </w:r>
      <w:r w:rsidRPr="00AD33F2">
        <w:rPr>
          <w:rStyle w:val="eop"/>
          <w:rFonts w:ascii="Arial" w:hAnsi="Arial"/>
          <w:color w:val="000000"/>
          <w:sz w:val="22"/>
        </w:rPr>
        <w:t> </w:t>
      </w:r>
    </w:p>
    <w:p w14:paraId="6ADE6B33" w14:textId="7F94A560" w:rsidR="000B2FA9" w:rsidRPr="00AD33F2" w:rsidRDefault="000B2FA9" w:rsidP="000B2FA9">
      <w:pPr>
        <w:pStyle w:val="paragraph"/>
        <w:numPr>
          <w:ilvl w:val="0"/>
          <w:numId w:val="18"/>
        </w:numPr>
        <w:spacing w:before="0" w:beforeAutospacing="0" w:after="0" w:afterAutospacing="0"/>
        <w:ind w:left="1080" w:firstLine="0"/>
        <w:textAlignment w:val="baseline"/>
        <w:rPr>
          <w:rFonts w:ascii="Arial" w:hAnsi="Arial" w:cs="Arial"/>
          <w:sz w:val="22"/>
          <w:szCs w:val="22"/>
        </w:rPr>
      </w:pPr>
      <w:r w:rsidRPr="00AD33F2">
        <w:rPr>
          <w:rStyle w:val="normaltextrun"/>
          <w:rFonts w:ascii="Arial" w:hAnsi="Arial"/>
          <w:color w:val="000000"/>
          <w:sz w:val="22"/>
        </w:rPr>
        <w:t>Jefe de proyecto/Especialista de nivel superior</w:t>
      </w:r>
      <w:r w:rsidRPr="00AD33F2">
        <w:rPr>
          <w:rStyle w:val="eop"/>
          <w:rFonts w:ascii="Arial" w:hAnsi="Arial"/>
          <w:color w:val="000000"/>
          <w:sz w:val="22"/>
        </w:rPr>
        <w:t> </w:t>
      </w:r>
    </w:p>
    <w:p w14:paraId="45262877" w14:textId="095253FB" w:rsidR="00EC1DA2" w:rsidRPr="00AD33F2" w:rsidRDefault="000B2FA9" w:rsidP="00724F54">
      <w:pPr>
        <w:pStyle w:val="paragraph"/>
        <w:numPr>
          <w:ilvl w:val="0"/>
          <w:numId w:val="19"/>
        </w:numPr>
        <w:spacing w:before="0" w:beforeAutospacing="0" w:after="0" w:afterAutospacing="0"/>
        <w:ind w:left="1080" w:firstLine="0"/>
        <w:textAlignment w:val="baseline"/>
      </w:pPr>
      <w:r w:rsidRPr="00724F54">
        <w:rPr>
          <w:rStyle w:val="normaltextrun"/>
          <w:rFonts w:ascii="Arial" w:hAnsi="Arial"/>
          <w:color w:val="000000"/>
          <w:sz w:val="22"/>
        </w:rPr>
        <w:t>Investigador/Analista de nivel medio</w:t>
      </w:r>
      <w:r w:rsidRPr="00724F54">
        <w:rPr>
          <w:rStyle w:val="eop"/>
          <w:rFonts w:ascii="Arial" w:hAnsi="Arial"/>
          <w:color w:val="000000"/>
          <w:sz w:val="22"/>
        </w:rPr>
        <w:t> </w:t>
      </w:r>
    </w:p>
    <w:p w14:paraId="1220D87D" w14:textId="77777777" w:rsidR="00F7638C" w:rsidRPr="00724F54" w:rsidRDefault="00F7638C" w:rsidP="00724F54">
      <w:pPr>
        <w:pStyle w:val="Heading2"/>
        <w:rPr>
          <w:b w:val="0"/>
        </w:rPr>
      </w:pPr>
      <w:r w:rsidRPr="00AD33F2">
        <w:t>Nivel de esfuerzo para consideraciones presupuestarias.</w:t>
      </w:r>
    </w:p>
    <w:p w14:paraId="111DEDC8" w14:textId="3C786A24" w:rsidR="00F7638C" w:rsidRPr="00AD33F2" w:rsidRDefault="00F7638C" w:rsidP="00F7638C">
      <w:pPr>
        <w:spacing w:after="0"/>
        <w:jc w:val="both"/>
        <w:rPr>
          <w:bCs/>
        </w:rPr>
      </w:pPr>
      <w:r w:rsidRPr="00AD33F2">
        <w:t xml:space="preserve">Dado que Zandalia es un país ficticio, elija uno </w:t>
      </w:r>
      <w:r w:rsidR="008C6E76" w:rsidRPr="00AD33F2">
        <w:t>(</w:t>
      </w:r>
      <w:r w:rsidRPr="00AD33F2">
        <w:t>y s</w:t>
      </w:r>
      <w:r w:rsidR="008C6E76" w:rsidRPr="00AD33F2">
        <w:t>o</w:t>
      </w:r>
      <w:r w:rsidRPr="00AD33F2">
        <w:t>lo uno</w:t>
      </w:r>
      <w:r w:rsidR="008C6E76" w:rsidRPr="00AD33F2">
        <w:t>)</w:t>
      </w:r>
      <w:r w:rsidRPr="00AD33F2">
        <w:t xml:space="preserve"> de los países de referencia que figuran a continuación como base de su propuesta de LOE para este</w:t>
      </w:r>
      <w:r w:rsidR="008C6E76" w:rsidRPr="00AD33F2">
        <w:t xml:space="preserve"> simulacro de</w:t>
      </w:r>
      <w:r w:rsidRPr="00AD33F2">
        <w:t xml:space="preserve"> SOW; secciones D y E. </w:t>
      </w:r>
      <w:r w:rsidRPr="00AD33F2">
        <w:rPr>
          <w:u w:val="single"/>
        </w:rPr>
        <w:t>No puede elegir un país en el que su empresa tenga su sede.</w:t>
      </w:r>
      <w:r w:rsidRPr="00AD33F2">
        <w:t xml:space="preserve"> La elección de un país no significa que haya trabajado o pueda trabajar en él. </w:t>
      </w:r>
    </w:p>
    <w:p w14:paraId="4437D83D" w14:textId="77777777" w:rsidR="00F7638C" w:rsidRPr="00AD33F2" w:rsidRDefault="00F7638C" w:rsidP="00F7638C">
      <w:pPr>
        <w:spacing w:after="0"/>
        <w:jc w:val="both"/>
        <w:rPr>
          <w:bCs/>
        </w:rPr>
      </w:pPr>
    </w:p>
    <w:tbl>
      <w:tblPr>
        <w:tblStyle w:val="TableGrid"/>
        <w:tblW w:w="0" w:type="auto"/>
        <w:jc w:val="center"/>
        <w:tblLook w:val="04A0" w:firstRow="1" w:lastRow="0" w:firstColumn="1" w:lastColumn="0" w:noHBand="0" w:noVBand="1"/>
      </w:tblPr>
      <w:tblGrid>
        <w:gridCol w:w="4320"/>
      </w:tblGrid>
      <w:tr w:rsidR="00F7638C" w:rsidRPr="00AD33F2" w14:paraId="28A9E8B1" w14:textId="77777777" w:rsidTr="00724F54">
        <w:trPr>
          <w:jc w:val="center"/>
        </w:trPr>
        <w:tc>
          <w:tcPr>
            <w:tcW w:w="4320" w:type="dxa"/>
          </w:tcPr>
          <w:p w14:paraId="2D6F7A0C" w14:textId="728CC257" w:rsidR="00F7638C" w:rsidRPr="00AD33F2" w:rsidRDefault="00F7638C" w:rsidP="0089400D">
            <w:pPr>
              <w:spacing w:after="0"/>
              <w:jc w:val="both"/>
              <w:rPr>
                <w:rFonts w:ascii="Arial" w:hAnsi="Arial" w:cs="Arial"/>
                <w:bCs/>
              </w:rPr>
            </w:pPr>
            <w:r w:rsidRPr="00AD33F2">
              <w:t>Países de referencia (seleccione s</w:t>
            </w:r>
            <w:r w:rsidR="008C6E76" w:rsidRPr="00AD33F2">
              <w:t>o</w:t>
            </w:r>
            <w:r w:rsidRPr="00AD33F2">
              <w:t>lo uno)</w:t>
            </w:r>
          </w:p>
        </w:tc>
      </w:tr>
      <w:tr w:rsidR="00F7638C" w:rsidRPr="00AD33F2" w14:paraId="41A3748D" w14:textId="77777777" w:rsidTr="00724F54">
        <w:trPr>
          <w:jc w:val="center"/>
        </w:trPr>
        <w:tc>
          <w:tcPr>
            <w:tcW w:w="4320" w:type="dxa"/>
          </w:tcPr>
          <w:p w14:paraId="195088F9"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 xml:space="preserve">Guatemala </w:t>
            </w:r>
          </w:p>
        </w:tc>
      </w:tr>
      <w:tr w:rsidR="00F7638C" w:rsidRPr="00AD33F2" w14:paraId="41C64FF4" w14:textId="77777777" w:rsidTr="00724F54">
        <w:trPr>
          <w:jc w:val="center"/>
        </w:trPr>
        <w:tc>
          <w:tcPr>
            <w:tcW w:w="4320" w:type="dxa"/>
            <w:tcBorders>
              <w:bottom w:val="single" w:sz="4" w:space="0" w:color="auto"/>
            </w:tcBorders>
          </w:tcPr>
          <w:p w14:paraId="36BB12A0"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Colombia</w:t>
            </w:r>
          </w:p>
        </w:tc>
      </w:tr>
      <w:tr w:rsidR="00F7638C" w:rsidRPr="00AD33F2" w14:paraId="4ECD5541" w14:textId="77777777" w:rsidTr="00724F54">
        <w:trPr>
          <w:jc w:val="center"/>
        </w:trPr>
        <w:tc>
          <w:tcPr>
            <w:tcW w:w="4320" w:type="dxa"/>
            <w:shd w:val="clear" w:color="auto" w:fill="auto"/>
          </w:tcPr>
          <w:p w14:paraId="6FF61695"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Burkina Faso</w:t>
            </w:r>
          </w:p>
        </w:tc>
      </w:tr>
      <w:tr w:rsidR="00F7638C" w:rsidRPr="00AD33F2" w14:paraId="2DFDD417" w14:textId="77777777" w:rsidTr="00724F54">
        <w:trPr>
          <w:jc w:val="center"/>
        </w:trPr>
        <w:tc>
          <w:tcPr>
            <w:tcW w:w="4320" w:type="dxa"/>
            <w:shd w:val="clear" w:color="auto" w:fill="auto"/>
          </w:tcPr>
          <w:p w14:paraId="364C73A8"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Senegal</w:t>
            </w:r>
          </w:p>
        </w:tc>
      </w:tr>
      <w:tr w:rsidR="00F7638C" w:rsidRPr="00AD33F2" w14:paraId="084E28E4" w14:textId="77777777" w:rsidTr="00724F54">
        <w:trPr>
          <w:jc w:val="center"/>
        </w:trPr>
        <w:tc>
          <w:tcPr>
            <w:tcW w:w="4320" w:type="dxa"/>
            <w:shd w:val="clear" w:color="auto" w:fill="auto"/>
          </w:tcPr>
          <w:p w14:paraId="7DBE4AF2"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Uganda</w:t>
            </w:r>
          </w:p>
        </w:tc>
      </w:tr>
      <w:tr w:rsidR="00F7638C" w:rsidRPr="00AD33F2" w14:paraId="03E3EE63" w14:textId="77777777" w:rsidTr="00724F54">
        <w:trPr>
          <w:jc w:val="center"/>
        </w:trPr>
        <w:tc>
          <w:tcPr>
            <w:tcW w:w="4320" w:type="dxa"/>
            <w:tcBorders>
              <w:bottom w:val="single" w:sz="4" w:space="0" w:color="auto"/>
            </w:tcBorders>
            <w:shd w:val="clear" w:color="auto" w:fill="auto"/>
          </w:tcPr>
          <w:p w14:paraId="398379C9"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Etiopía</w:t>
            </w:r>
          </w:p>
        </w:tc>
      </w:tr>
      <w:tr w:rsidR="00F7638C" w:rsidRPr="00AD33F2" w14:paraId="71769FD7" w14:textId="77777777" w:rsidTr="00724F54">
        <w:trPr>
          <w:jc w:val="center"/>
        </w:trPr>
        <w:tc>
          <w:tcPr>
            <w:tcW w:w="4320" w:type="dxa"/>
            <w:shd w:val="clear" w:color="auto" w:fill="auto"/>
          </w:tcPr>
          <w:p w14:paraId="5A3D01B0"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Iraq</w:t>
            </w:r>
          </w:p>
        </w:tc>
      </w:tr>
      <w:tr w:rsidR="00F7638C" w:rsidRPr="00AD33F2" w14:paraId="7A02E6F6" w14:textId="77777777" w:rsidTr="00724F54">
        <w:trPr>
          <w:jc w:val="center"/>
        </w:trPr>
        <w:tc>
          <w:tcPr>
            <w:tcW w:w="4320" w:type="dxa"/>
            <w:shd w:val="clear" w:color="auto" w:fill="auto"/>
          </w:tcPr>
          <w:p w14:paraId="6EDEF250"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 xml:space="preserve">Afganistán </w:t>
            </w:r>
          </w:p>
        </w:tc>
      </w:tr>
      <w:tr w:rsidR="00F7638C" w:rsidRPr="00AD33F2" w14:paraId="6D7E8DA5" w14:textId="77777777" w:rsidTr="00724F54">
        <w:trPr>
          <w:jc w:val="center"/>
        </w:trPr>
        <w:tc>
          <w:tcPr>
            <w:tcW w:w="4320" w:type="dxa"/>
            <w:shd w:val="clear" w:color="auto" w:fill="auto"/>
          </w:tcPr>
          <w:p w14:paraId="5C636DF7"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Nepal</w:t>
            </w:r>
          </w:p>
        </w:tc>
      </w:tr>
      <w:tr w:rsidR="00F7638C" w:rsidRPr="00AD33F2" w14:paraId="294ED5FC" w14:textId="77777777" w:rsidTr="00724F54">
        <w:trPr>
          <w:jc w:val="center"/>
        </w:trPr>
        <w:tc>
          <w:tcPr>
            <w:tcW w:w="4320" w:type="dxa"/>
          </w:tcPr>
          <w:p w14:paraId="2B0CE8E1" w14:textId="77777777" w:rsidR="00F7638C" w:rsidRPr="00AD33F2" w:rsidRDefault="00F7638C" w:rsidP="00F7638C">
            <w:pPr>
              <w:pStyle w:val="ListParagraph"/>
              <w:numPr>
                <w:ilvl w:val="0"/>
                <w:numId w:val="14"/>
              </w:numPr>
              <w:spacing w:after="0" w:line="240" w:lineRule="auto"/>
              <w:jc w:val="both"/>
              <w:rPr>
                <w:rFonts w:ascii="Arial" w:hAnsi="Arial" w:cs="Arial"/>
                <w:bCs/>
              </w:rPr>
            </w:pPr>
            <w:r w:rsidRPr="00AD33F2">
              <w:rPr>
                <w:rFonts w:ascii="Arial" w:hAnsi="Arial"/>
              </w:rPr>
              <w:t>Indonesia</w:t>
            </w:r>
          </w:p>
        </w:tc>
      </w:tr>
    </w:tbl>
    <w:p w14:paraId="0C43D0A0" w14:textId="1144645E" w:rsidR="004A540E" w:rsidRPr="00AD33F2" w:rsidRDefault="00DF1655" w:rsidP="00DF1655">
      <w:pPr>
        <w:pStyle w:val="Heading2"/>
      </w:pPr>
      <w:r w:rsidRPr="00AD33F2">
        <w:t>Cronograma</w:t>
      </w:r>
    </w:p>
    <w:p w14:paraId="0540C8A0" w14:textId="7EA5B3A2" w:rsidR="00DF1655" w:rsidRPr="00AD33F2" w:rsidRDefault="00DF1655" w:rsidP="00DF1655">
      <w:pPr>
        <w:jc w:val="both"/>
        <w:rPr>
          <w:bCs/>
        </w:rPr>
      </w:pPr>
      <w:r w:rsidRPr="00AD33F2">
        <w:lastRenderedPageBreak/>
        <w:t xml:space="preserve">La empresa debe proponer un plazo de alto nivel para completar este estudio y presentar el informe final antes del 15 de mayo de 2024. El plazo propuesto debe ser coherente con los recursos asignados en las secciones técnicas y LOE de las propuestas. </w:t>
      </w:r>
    </w:p>
    <w:p w14:paraId="20A749F7" w14:textId="047A1F47" w:rsidR="004A540E" w:rsidRPr="00AD33F2" w:rsidRDefault="008C6E76" w:rsidP="00724F54">
      <w:pPr>
        <w:pStyle w:val="Heading2"/>
      </w:pPr>
      <w:proofErr w:type="gramStart"/>
      <w:r w:rsidRPr="00AD33F2">
        <w:t>Documentos a entregar</w:t>
      </w:r>
      <w:proofErr w:type="gramEnd"/>
    </w:p>
    <w:p w14:paraId="4CCD5947" w14:textId="5C0EA6A1" w:rsidR="004A540E" w:rsidRPr="00AD33F2" w:rsidRDefault="00D172B2">
      <w:pPr>
        <w:jc w:val="both"/>
      </w:pPr>
      <w:r w:rsidRPr="00AD33F2">
        <w:t xml:space="preserve">La asignación dará lugar a los siguientes </w:t>
      </w:r>
      <w:r w:rsidR="008C6E76" w:rsidRPr="00AD33F2">
        <w:t>documentos</w:t>
      </w:r>
      <w:r w:rsidRPr="00AD33F2">
        <w:t>:</w:t>
      </w:r>
    </w:p>
    <w:p w14:paraId="152D8AF4" w14:textId="2EC7A123" w:rsidR="00A6604B" w:rsidRPr="00AD33F2" w:rsidRDefault="00D172B2" w:rsidP="000019DE">
      <w:pPr>
        <w:numPr>
          <w:ilvl w:val="0"/>
          <w:numId w:val="1"/>
        </w:numPr>
      </w:pPr>
      <w:r w:rsidRPr="00AD33F2">
        <w:t>Informe inicial de GpV (incluidas las herramientas de recopilación de datos y el marco analítico).</w:t>
      </w:r>
    </w:p>
    <w:p w14:paraId="1CEA379C" w14:textId="77777777" w:rsidR="006562EA" w:rsidRPr="00AD33F2" w:rsidRDefault="006562EA" w:rsidP="006562EA">
      <w:pPr>
        <w:numPr>
          <w:ilvl w:val="0"/>
          <w:numId w:val="1"/>
        </w:numPr>
      </w:pPr>
      <w:r w:rsidRPr="00AD33F2">
        <w:t>Informe final de GpV y resumen (de una página).</w:t>
      </w:r>
    </w:p>
    <w:p w14:paraId="0F9D4D8D" w14:textId="77777777" w:rsidR="00A6604B" w:rsidRPr="00AD33F2" w:rsidRDefault="00A6604B" w:rsidP="00A6604B">
      <w:pPr>
        <w:widowControl w:val="0"/>
        <w:jc w:val="both"/>
      </w:pPr>
      <w:r w:rsidRPr="00AD33F2">
        <w:t xml:space="preserve">Los informes se redactarán en inglés, español o francés y, en caso necesario, el resumen se traducirá al idioma hablado en el país donde se realice el análisis (p. ej., inglés, francés, español, árabe o ruso). Asegúrese de indicar, </w:t>
      </w:r>
      <w:r w:rsidRPr="00AD33F2">
        <w:rPr>
          <w:u w:val="single"/>
        </w:rPr>
        <w:t>en la sección II (la propuesta técnica), en cuál de estos idiomas presentará su empresa el informe, así como el resumen y los instrumentos de recopilación de datos.</w:t>
      </w:r>
      <w:r w:rsidRPr="00AD33F2">
        <w:t xml:space="preserve"> </w:t>
      </w:r>
    </w:p>
    <w:p w14:paraId="1A279E5F" w14:textId="63A66D88" w:rsidR="00A6604B" w:rsidRPr="00AD33F2" w:rsidRDefault="00A6604B" w:rsidP="00A6604B">
      <w:pPr>
        <w:widowControl w:val="0"/>
        <w:jc w:val="both"/>
      </w:pPr>
      <w:r w:rsidRPr="00AD33F2">
        <w:t xml:space="preserve">Mercy Corps proporcionará información consolidada sobre el informe </w:t>
      </w:r>
      <w:r w:rsidR="008C6E76" w:rsidRPr="00AD33F2">
        <w:t>preliminar</w:t>
      </w:r>
      <w:r w:rsidRPr="00AD33F2">
        <w:t xml:space="preserve">1, siempre que esté completo y se presente como si fuera el informe final (es decir, que no sea un </w:t>
      </w:r>
      <w:r w:rsidR="008C6E76" w:rsidRPr="00AD33F2">
        <w:t>“</w:t>
      </w:r>
      <w:r w:rsidRPr="00AD33F2">
        <w:t>borrador</w:t>
      </w:r>
      <w:r w:rsidR="008C6E76" w:rsidRPr="00AD33F2">
        <w:t>”</w:t>
      </w:r>
      <w:r w:rsidRPr="00AD33F2">
        <w:t xml:space="preserve"> y que no falte ninguna sección aparte de los anexos). En el </w:t>
      </w:r>
      <w:r w:rsidR="008C6E76" w:rsidRPr="00AD33F2">
        <w:t xml:space="preserve">informe preliminar </w:t>
      </w:r>
      <w:r w:rsidRPr="00AD33F2">
        <w:t xml:space="preserve">2 se </w:t>
      </w:r>
      <w:r w:rsidR="008C6E76" w:rsidRPr="00AD33F2">
        <w:t xml:space="preserve">deberán haber </w:t>
      </w:r>
      <w:r w:rsidRPr="00AD33F2">
        <w:t>tenido en cuenta los comentarios de Mercy Corps y Mercy Corps proporcionará entonces sus comentarios consolidados finales, lo que permitirá que la empresa presente el informe final. Por lo tanto, s</w:t>
      </w:r>
      <w:r w:rsidR="008C6E76" w:rsidRPr="00AD33F2">
        <w:t>o</w:t>
      </w:r>
      <w:r w:rsidRPr="00AD33F2">
        <w:t xml:space="preserve">lo hay dos rondas de revisiones del informe. </w:t>
      </w:r>
    </w:p>
    <w:p w14:paraId="3AB3C50B" w14:textId="77777777" w:rsidR="00540FF1" w:rsidRPr="00AD33F2" w:rsidRDefault="00540FF1" w:rsidP="00540FF1">
      <w:pPr>
        <w:pStyle w:val="Heading2"/>
      </w:pPr>
      <w:r w:rsidRPr="00AD33F2">
        <w:t xml:space="preserve">Estructura del informe final </w:t>
      </w:r>
    </w:p>
    <w:p w14:paraId="1D9B1D5A" w14:textId="4D5B93EC" w:rsidR="00540FF1" w:rsidRPr="00AD33F2" w:rsidRDefault="00540FF1" w:rsidP="00540FF1">
      <w:pPr>
        <w:jc w:val="both"/>
      </w:pPr>
      <w:r w:rsidRPr="00AD33F2">
        <w:t>El informe final tendrá un máximo de 15 páginas (lo que excluye los anexos) y tendrá la siguiente estructura:</w:t>
      </w:r>
    </w:p>
    <w:p w14:paraId="62C1BDD1" w14:textId="77777777" w:rsidR="00540FF1" w:rsidRPr="00AD33F2" w:rsidRDefault="00540FF1" w:rsidP="00540FF1">
      <w:pPr>
        <w:numPr>
          <w:ilvl w:val="0"/>
          <w:numId w:val="15"/>
        </w:numPr>
        <w:jc w:val="both"/>
      </w:pPr>
      <w:r w:rsidRPr="00AD33F2">
        <w:t>Antecedentes y revisión de la documentación del programa</w:t>
      </w:r>
    </w:p>
    <w:p w14:paraId="3D9BD6A3" w14:textId="77777777" w:rsidR="00540FF1" w:rsidRPr="00AD33F2" w:rsidRDefault="00540FF1" w:rsidP="00540FF1">
      <w:pPr>
        <w:numPr>
          <w:ilvl w:val="0"/>
          <w:numId w:val="15"/>
        </w:numPr>
        <w:jc w:val="both"/>
      </w:pPr>
      <w:r w:rsidRPr="00AD33F2">
        <w:t>Metodología y limitaciones</w:t>
      </w:r>
    </w:p>
    <w:p w14:paraId="1E8611A5" w14:textId="77777777" w:rsidR="00540FF1" w:rsidRPr="00AD33F2" w:rsidRDefault="00540FF1" w:rsidP="00540FF1">
      <w:pPr>
        <w:numPr>
          <w:ilvl w:val="0"/>
          <w:numId w:val="15"/>
        </w:numPr>
        <w:jc w:val="both"/>
      </w:pPr>
      <w:r w:rsidRPr="00AD33F2">
        <w:t>Resultados</w:t>
      </w:r>
    </w:p>
    <w:p w14:paraId="185FA609" w14:textId="77777777" w:rsidR="00540FF1" w:rsidRPr="00AD33F2" w:rsidRDefault="00540FF1" w:rsidP="00540FF1">
      <w:pPr>
        <w:numPr>
          <w:ilvl w:val="0"/>
          <w:numId w:val="15"/>
        </w:numPr>
        <w:jc w:val="both"/>
      </w:pPr>
      <w:r w:rsidRPr="00AD33F2">
        <w:t>Recomendaciones</w:t>
      </w:r>
    </w:p>
    <w:p w14:paraId="28715880" w14:textId="77777777" w:rsidR="00540FF1" w:rsidRPr="00AD33F2" w:rsidRDefault="00540FF1" w:rsidP="00540FF1">
      <w:pPr>
        <w:jc w:val="both"/>
      </w:pPr>
      <w:r w:rsidRPr="00AD33F2">
        <w:t xml:space="preserve">Un ejemplo de lo que puede ser el producto final </w:t>
      </w:r>
      <w:hyperlink r:id="rId12" w:history="1">
        <w:r w:rsidRPr="00AD33F2">
          <w:rPr>
            <w:rStyle w:val="Hyperlink"/>
          </w:rPr>
          <w:t>aquí.</w:t>
        </w:r>
      </w:hyperlink>
    </w:p>
    <w:p w14:paraId="572C9B1C" w14:textId="49518692" w:rsidR="004A540E" w:rsidRPr="00AD33F2" w:rsidRDefault="00D172B2">
      <w:pPr>
        <w:jc w:val="both"/>
      </w:pPr>
      <w:r w:rsidRPr="00AD33F2">
        <w:t xml:space="preserve">Un ejemplo de lo que puede ser el producto final </w:t>
      </w:r>
      <w:hyperlink r:id="rId13">
        <w:r w:rsidRPr="00AD33F2">
          <w:rPr>
            <w:color w:val="1155CC"/>
            <w:u w:val="single"/>
          </w:rPr>
          <w:t>aquí</w:t>
        </w:r>
      </w:hyperlink>
      <w:r w:rsidRPr="00AD33F2">
        <w:t xml:space="preserve">. </w:t>
      </w:r>
    </w:p>
    <w:p w14:paraId="20E8F741" w14:textId="3975D51E" w:rsidR="004A540E" w:rsidRPr="00724F54" w:rsidRDefault="00D172B2" w:rsidP="00724F54">
      <w:pPr>
        <w:pStyle w:val="Heading2"/>
      </w:pPr>
      <w:r w:rsidRPr="00724F54">
        <w:t>Difusión y seguimiento</w:t>
      </w:r>
    </w:p>
    <w:p w14:paraId="4E16899E" w14:textId="4EE2F959" w:rsidR="004A540E" w:rsidRPr="00AD33F2" w:rsidRDefault="00D172B2">
      <w:pPr>
        <w:jc w:val="both"/>
      </w:pPr>
      <w:r w:rsidRPr="00AD33F2">
        <w:t>Las constataciones del estudio se compartirán con los miembros del consorcio de VE, los miembros del consorcio Dioptra y las partes interesadas internas de Mercy Corps (TSU, Región, Investigación y Aprendizaje, dirección de Programas Globales, dirección de Finanzas</w:t>
      </w:r>
      <w:r w:rsidR="00024E24" w:rsidRPr="00AD33F2">
        <w:t xml:space="preserve"> y</w:t>
      </w:r>
      <w:r w:rsidRPr="00AD33F2">
        <w:t xml:space="preserve"> otros</w:t>
      </w:r>
      <w:r w:rsidR="00024E24" w:rsidRPr="00AD33F2">
        <w:t>,</w:t>
      </w:r>
      <w:r w:rsidRPr="00AD33F2">
        <w:t xml:space="preserve"> según corresponda). En función de los resultados, también podrán publicarse como estudio de caso en el sitio web de Dioptra y/o compartirse con los representantes de los donantes del programa.</w:t>
      </w:r>
      <w:r w:rsidRPr="00AD33F2">
        <w:rPr>
          <w:sz w:val="20"/>
        </w:rPr>
        <w:t xml:space="preserve"> </w:t>
      </w:r>
    </w:p>
    <w:sectPr w:rsidR="004A540E" w:rsidRPr="00AD33F2" w:rsidSect="00724F54">
      <w:headerReference w:type="default" r:id="rId14"/>
      <w:footerReference w:type="default" r:id="rId15"/>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B311" w14:textId="77777777" w:rsidR="00AB4466" w:rsidRDefault="00AB4466">
      <w:r>
        <w:separator/>
      </w:r>
    </w:p>
  </w:endnote>
  <w:endnote w:type="continuationSeparator" w:id="0">
    <w:p w14:paraId="18E152DF" w14:textId="77777777" w:rsidR="00AB4466" w:rsidRDefault="00AB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0980"/>
      <w:docPartObj>
        <w:docPartGallery w:val="Page Numbers (Bottom of Page)"/>
        <w:docPartUnique/>
      </w:docPartObj>
    </w:sdtPr>
    <w:sdtContent>
      <w:p w14:paraId="248441DC" w14:textId="39AB29ED" w:rsidR="00D65FC1" w:rsidRDefault="00D65FC1">
        <w:pPr>
          <w:pStyle w:val="Footer"/>
          <w:jc w:val="right"/>
        </w:pPr>
        <w:r>
          <w:fldChar w:fldCharType="begin"/>
        </w:r>
        <w:r>
          <w:instrText>PAGE   \* MERGEFORMAT</w:instrText>
        </w:r>
        <w:r>
          <w:fldChar w:fldCharType="separate"/>
        </w:r>
        <w:r>
          <w:t>2</w:t>
        </w:r>
        <w:r>
          <w:fldChar w:fldCharType="end"/>
        </w:r>
      </w:p>
    </w:sdtContent>
  </w:sdt>
  <w:p w14:paraId="63FE5AC3" w14:textId="77777777" w:rsidR="00D65FC1" w:rsidRDefault="00D65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E9C0" w14:textId="77777777" w:rsidR="00AB4466" w:rsidRDefault="00AB4466">
      <w:r>
        <w:separator/>
      </w:r>
    </w:p>
  </w:footnote>
  <w:footnote w:type="continuationSeparator" w:id="0">
    <w:p w14:paraId="2DEAE119" w14:textId="77777777" w:rsidR="00AB4466" w:rsidRDefault="00AB4466">
      <w:r>
        <w:continuationSeparator/>
      </w:r>
    </w:p>
  </w:footnote>
  <w:footnote w:id="1">
    <w:p w14:paraId="118F6F6F" w14:textId="77777777" w:rsidR="00D65FC1" w:rsidRDefault="00D65FC1" w:rsidP="00D65FC1">
      <w:pPr>
        <w:rPr>
          <w:sz w:val="20"/>
          <w:szCs w:val="20"/>
        </w:rPr>
      </w:pPr>
      <w:r>
        <w:rPr>
          <w:vertAlign w:val="superscript"/>
        </w:rPr>
        <w:footnoteRef/>
      </w:r>
      <w:r>
        <w:rPr>
          <w:sz w:val="20"/>
        </w:rPr>
        <w:t xml:space="preserve"> https://www.dioptratool.org/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F46" w14:textId="7C664E6A" w:rsidR="0044306F" w:rsidRPr="00724F54" w:rsidRDefault="0044306F" w:rsidP="00724F54">
    <w:pPr>
      <w:pStyle w:val="Header"/>
      <w:jc w:val="center"/>
      <w:rPr>
        <w:b/>
        <w:bCs/>
      </w:rPr>
    </w:pPr>
    <w:r w:rsidRPr="00724F54">
      <w:rPr>
        <w:b/>
        <w:noProof/>
      </w:rPr>
      <w:drawing>
        <wp:anchor distT="0" distB="0" distL="114300" distR="114300" simplePos="0" relativeHeight="251658240" behindDoc="0" locked="0" layoutInCell="1" allowOverlap="1" wp14:anchorId="3FF4D778" wp14:editId="30567631">
          <wp:simplePos x="0" y="0"/>
          <wp:positionH relativeFrom="column">
            <wp:posOffset>5172977</wp:posOffset>
          </wp:positionH>
          <wp:positionV relativeFrom="paragraph">
            <wp:posOffset>-198855</wp:posOffset>
          </wp:positionV>
          <wp:extent cx="1455420" cy="547370"/>
          <wp:effectExtent l="0" t="0" r="0" b="5080"/>
          <wp:wrapSquare wrapText="bothSides"/>
          <wp:docPr id="104601739" name="Picture 10460173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55420" cy="547370"/>
                  </a:xfrm>
                  <a:prstGeom prst="rect">
                    <a:avLst/>
                  </a:prstGeom>
                  <a:ln/>
                </pic:spPr>
              </pic:pic>
            </a:graphicData>
          </a:graphic>
          <wp14:sizeRelH relativeFrom="margin">
            <wp14:pctWidth>0</wp14:pctWidth>
          </wp14:sizeRelH>
          <wp14:sizeRelV relativeFrom="margin">
            <wp14:pctHeight>0</wp14:pctHeight>
          </wp14:sizeRelV>
        </wp:anchor>
      </w:drawing>
    </w:r>
    <w:r w:rsidR="006802FC">
      <w:rPr>
        <w:b/>
      </w:rPr>
      <w:t>Alcance del trabajo (</w:t>
    </w:r>
    <w:proofErr w:type="spellStart"/>
    <w:r w:rsidRPr="00724F54">
      <w:rPr>
        <w:b/>
      </w:rPr>
      <w:t>S</w:t>
    </w:r>
    <w:r w:rsidR="006802FC">
      <w:rPr>
        <w:b/>
      </w:rPr>
      <w:t>o</w:t>
    </w:r>
    <w:r w:rsidRPr="00724F54">
      <w:rPr>
        <w:b/>
      </w:rPr>
      <w:t>W</w:t>
    </w:r>
    <w:proofErr w:type="spellEnd"/>
    <w:r w:rsidR="006802FC">
      <w:rPr>
        <w:b/>
      </w:rPr>
      <w:t>)</w:t>
    </w:r>
    <w:r w:rsidRPr="00724F54">
      <w:rPr>
        <w:b/>
      </w:rPr>
      <w:t xml:space="preserve"> para el análisis de rentabilidad del programa VEzperza en Zandalia</w:t>
    </w:r>
  </w:p>
  <w:p w14:paraId="55D5A00E" w14:textId="236387A9" w:rsidR="004A540E" w:rsidRDefault="004A540E" w:rsidP="0044306F">
    <w:pPr>
      <w:jc w:val="right"/>
    </w:pPr>
  </w:p>
  <w:p w14:paraId="6A40864A" w14:textId="77777777" w:rsidR="0044306F" w:rsidRDefault="0044306F" w:rsidP="00724F5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92"/>
    <w:multiLevelType w:val="multilevel"/>
    <w:tmpl w:val="4C3E61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B654BB"/>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994B8A"/>
    <w:multiLevelType w:val="multilevel"/>
    <w:tmpl w:val="5AEEE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ACB"/>
    <w:multiLevelType w:val="multilevel"/>
    <w:tmpl w:val="AC8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24234"/>
    <w:multiLevelType w:val="hybridMultilevel"/>
    <w:tmpl w:val="1740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AC9"/>
    <w:multiLevelType w:val="hybridMultilevel"/>
    <w:tmpl w:val="9904AEE2"/>
    <w:lvl w:ilvl="0" w:tplc="C2744EB8">
      <w:start w:val="1"/>
      <w:numFmt w:val="decimal"/>
      <w:pStyle w:val="Heading2"/>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EB4C96"/>
    <w:multiLevelType w:val="multilevel"/>
    <w:tmpl w:val="9C40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B07F3"/>
    <w:multiLevelType w:val="multilevel"/>
    <w:tmpl w:val="65887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94D34"/>
    <w:multiLevelType w:val="multilevel"/>
    <w:tmpl w:val="3400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44358D"/>
    <w:multiLevelType w:val="multilevel"/>
    <w:tmpl w:val="63FC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F01D62"/>
    <w:multiLevelType w:val="multilevel"/>
    <w:tmpl w:val="D36EB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260284"/>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B3AF8"/>
    <w:multiLevelType w:val="multilevel"/>
    <w:tmpl w:val="7AEC383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3645195">
    <w:abstractNumId w:val="8"/>
  </w:num>
  <w:num w:numId="2" w16cid:durableId="163589807">
    <w:abstractNumId w:val="1"/>
  </w:num>
  <w:num w:numId="3" w16cid:durableId="1888763281">
    <w:abstractNumId w:val="2"/>
  </w:num>
  <w:num w:numId="4" w16cid:durableId="814614176">
    <w:abstractNumId w:val="11"/>
  </w:num>
  <w:num w:numId="5" w16cid:durableId="1842232690">
    <w:abstractNumId w:val="10"/>
  </w:num>
  <w:num w:numId="6" w16cid:durableId="681206684">
    <w:abstractNumId w:val="9"/>
  </w:num>
  <w:num w:numId="7" w16cid:durableId="1954096025">
    <w:abstractNumId w:val="0"/>
  </w:num>
  <w:num w:numId="8" w16cid:durableId="119224787">
    <w:abstractNumId w:val="6"/>
  </w:num>
  <w:num w:numId="9" w16cid:durableId="1720787730">
    <w:abstractNumId w:val="6"/>
  </w:num>
  <w:num w:numId="10" w16cid:durableId="1790664848">
    <w:abstractNumId w:val="14"/>
  </w:num>
  <w:num w:numId="11" w16cid:durableId="2069104104">
    <w:abstractNumId w:val="6"/>
  </w:num>
  <w:num w:numId="12" w16cid:durableId="373621051">
    <w:abstractNumId w:val="3"/>
  </w:num>
  <w:num w:numId="13" w16cid:durableId="1178079622">
    <w:abstractNumId w:val="6"/>
  </w:num>
  <w:num w:numId="14" w16cid:durableId="585723539">
    <w:abstractNumId w:val="13"/>
  </w:num>
  <w:num w:numId="15" w16cid:durableId="1070886465">
    <w:abstractNumId w:val="12"/>
  </w:num>
  <w:num w:numId="16" w16cid:durableId="1634097477">
    <w:abstractNumId w:val="6"/>
  </w:num>
  <w:num w:numId="17" w16cid:durableId="1911689276">
    <w:abstractNumId w:val="6"/>
  </w:num>
  <w:num w:numId="18" w16cid:durableId="619410214">
    <w:abstractNumId w:val="4"/>
  </w:num>
  <w:num w:numId="19" w16cid:durableId="44767276">
    <w:abstractNumId w:val="7"/>
  </w:num>
  <w:num w:numId="20" w16cid:durableId="1077628910">
    <w:abstractNumId w:val="5"/>
  </w:num>
  <w:num w:numId="21" w16cid:durableId="2019692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0E"/>
    <w:rsid w:val="000019DE"/>
    <w:rsid w:val="00024E24"/>
    <w:rsid w:val="000B2FA9"/>
    <w:rsid w:val="001507F3"/>
    <w:rsid w:val="001844C2"/>
    <w:rsid w:val="001E5047"/>
    <w:rsid w:val="00245507"/>
    <w:rsid w:val="00251F14"/>
    <w:rsid w:val="002963F0"/>
    <w:rsid w:val="002E022C"/>
    <w:rsid w:val="0039051B"/>
    <w:rsid w:val="003A618A"/>
    <w:rsid w:val="003B5E0C"/>
    <w:rsid w:val="003C7ABF"/>
    <w:rsid w:val="0044306F"/>
    <w:rsid w:val="00450B29"/>
    <w:rsid w:val="00486559"/>
    <w:rsid w:val="00494001"/>
    <w:rsid w:val="004A540E"/>
    <w:rsid w:val="00540FF1"/>
    <w:rsid w:val="005911F8"/>
    <w:rsid w:val="005D3FB5"/>
    <w:rsid w:val="006562EA"/>
    <w:rsid w:val="00671080"/>
    <w:rsid w:val="006802FC"/>
    <w:rsid w:val="00720DFB"/>
    <w:rsid w:val="00724F54"/>
    <w:rsid w:val="00891968"/>
    <w:rsid w:val="008C6E76"/>
    <w:rsid w:val="0095157B"/>
    <w:rsid w:val="009738C0"/>
    <w:rsid w:val="00976346"/>
    <w:rsid w:val="009C69F3"/>
    <w:rsid w:val="00A6604B"/>
    <w:rsid w:val="00A9166B"/>
    <w:rsid w:val="00AB4466"/>
    <w:rsid w:val="00AD33F2"/>
    <w:rsid w:val="00B23E2C"/>
    <w:rsid w:val="00B525C5"/>
    <w:rsid w:val="00BA2674"/>
    <w:rsid w:val="00BE1734"/>
    <w:rsid w:val="00C04703"/>
    <w:rsid w:val="00D172B2"/>
    <w:rsid w:val="00D65FC1"/>
    <w:rsid w:val="00DF1655"/>
    <w:rsid w:val="00EC1DA2"/>
    <w:rsid w:val="00EE3AC3"/>
    <w:rsid w:val="00F00228"/>
    <w:rsid w:val="00F76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BB3B"/>
  <w15:docId w15:val="{E8D1FDA8-7035-4930-92AF-88327FE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C1"/>
    <w:pPr>
      <w:spacing w:before="120" w:after="120" w:line="240" w:lineRule="auto"/>
    </w:p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rsid w:val="00D65FC1"/>
    <w:pPr>
      <w:numPr>
        <w:numId w:val="8"/>
      </w:numPr>
      <w:spacing w:before="240" w:after="240"/>
      <w:outlineLvl w:val="1"/>
    </w:pPr>
    <w:rPr>
      <w:b/>
      <w:color w:val="66666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76346"/>
    <w:pPr>
      <w:spacing w:line="240" w:lineRule="auto"/>
    </w:pPr>
  </w:style>
  <w:style w:type="character" w:styleId="CommentReference">
    <w:name w:val="annotation reference"/>
    <w:basedOn w:val="DefaultParagraphFont"/>
    <w:uiPriority w:val="99"/>
    <w:semiHidden/>
    <w:unhideWhenUsed/>
    <w:rsid w:val="00976346"/>
    <w:rPr>
      <w:sz w:val="16"/>
      <w:szCs w:val="16"/>
    </w:rPr>
  </w:style>
  <w:style w:type="paragraph" w:styleId="CommentText">
    <w:name w:val="annotation text"/>
    <w:basedOn w:val="Normal"/>
    <w:link w:val="CommentTextChar"/>
    <w:uiPriority w:val="99"/>
    <w:unhideWhenUsed/>
    <w:rsid w:val="00976346"/>
    <w:rPr>
      <w:sz w:val="20"/>
      <w:szCs w:val="20"/>
    </w:rPr>
  </w:style>
  <w:style w:type="character" w:customStyle="1" w:styleId="CommentTextChar">
    <w:name w:val="Comment Text Char"/>
    <w:basedOn w:val="DefaultParagraphFont"/>
    <w:link w:val="CommentText"/>
    <w:uiPriority w:val="99"/>
    <w:rsid w:val="00976346"/>
    <w:rPr>
      <w:sz w:val="20"/>
      <w:szCs w:val="20"/>
    </w:rPr>
  </w:style>
  <w:style w:type="paragraph" w:styleId="CommentSubject">
    <w:name w:val="annotation subject"/>
    <w:basedOn w:val="CommentText"/>
    <w:next w:val="CommentText"/>
    <w:link w:val="CommentSubjectChar"/>
    <w:uiPriority w:val="99"/>
    <w:semiHidden/>
    <w:unhideWhenUsed/>
    <w:rsid w:val="00976346"/>
    <w:rPr>
      <w:b/>
      <w:bCs/>
    </w:rPr>
  </w:style>
  <w:style w:type="character" w:customStyle="1" w:styleId="CommentSubjectChar">
    <w:name w:val="Comment Subject Char"/>
    <w:basedOn w:val="CommentTextChar"/>
    <w:link w:val="CommentSubject"/>
    <w:uiPriority w:val="99"/>
    <w:semiHidden/>
    <w:rsid w:val="00976346"/>
    <w:rPr>
      <w:b/>
      <w:bCs/>
      <w:sz w:val="20"/>
      <w:szCs w:val="20"/>
    </w:rPr>
  </w:style>
  <w:style w:type="paragraph" w:styleId="Header">
    <w:name w:val="header"/>
    <w:basedOn w:val="Normal"/>
    <w:link w:val="HeaderChar"/>
    <w:uiPriority w:val="99"/>
    <w:unhideWhenUsed/>
    <w:rsid w:val="0044306F"/>
    <w:pPr>
      <w:tabs>
        <w:tab w:val="center" w:pos="4513"/>
        <w:tab w:val="right" w:pos="9026"/>
      </w:tabs>
    </w:pPr>
  </w:style>
  <w:style w:type="character" w:customStyle="1" w:styleId="HeaderChar">
    <w:name w:val="Header Char"/>
    <w:basedOn w:val="DefaultParagraphFont"/>
    <w:link w:val="Header"/>
    <w:uiPriority w:val="99"/>
    <w:rsid w:val="0044306F"/>
  </w:style>
  <w:style w:type="paragraph" w:styleId="Footer">
    <w:name w:val="footer"/>
    <w:basedOn w:val="Normal"/>
    <w:link w:val="FooterChar"/>
    <w:uiPriority w:val="99"/>
    <w:unhideWhenUsed/>
    <w:rsid w:val="0044306F"/>
    <w:pPr>
      <w:tabs>
        <w:tab w:val="center" w:pos="4513"/>
        <w:tab w:val="right" w:pos="9026"/>
      </w:tabs>
    </w:pPr>
  </w:style>
  <w:style w:type="character" w:customStyle="1" w:styleId="FooterChar">
    <w:name w:val="Footer Char"/>
    <w:basedOn w:val="DefaultParagraphFont"/>
    <w:link w:val="Footer"/>
    <w:uiPriority w:val="99"/>
    <w:rsid w:val="0044306F"/>
  </w:style>
  <w:style w:type="character" w:styleId="Hyperlink">
    <w:name w:val="Hyperlink"/>
    <w:basedOn w:val="DefaultParagraphFont"/>
    <w:uiPriority w:val="99"/>
    <w:unhideWhenUsed/>
    <w:rsid w:val="00DF1655"/>
    <w:rPr>
      <w:color w:val="0000FF" w:themeColor="hyperlink"/>
      <w:u w:val="single"/>
    </w:rPr>
  </w:style>
  <w:style w:type="character" w:styleId="UnresolvedMention">
    <w:name w:val="Unresolved Mention"/>
    <w:basedOn w:val="DefaultParagraphFont"/>
    <w:uiPriority w:val="99"/>
    <w:semiHidden/>
    <w:unhideWhenUsed/>
    <w:rsid w:val="00DF1655"/>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Table bullet"/>
    <w:basedOn w:val="Normal"/>
    <w:link w:val="ListParagraphChar"/>
    <w:uiPriority w:val="34"/>
    <w:qFormat/>
    <w:rsid w:val="0039051B"/>
    <w:pPr>
      <w:spacing w:before="0" w:after="200" w:line="276" w:lineRule="auto"/>
      <w:ind w:left="720"/>
      <w:contextualSpacing/>
    </w:pPr>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39051B"/>
    <w:rPr>
      <w:rFonts w:ascii="Calibri" w:eastAsia="Calibri" w:hAnsi="Calibri" w:cs="Calibri"/>
      <w:lang w:val="es-419"/>
    </w:rPr>
  </w:style>
  <w:style w:type="table" w:styleId="TableGrid">
    <w:name w:val="Table Grid"/>
    <w:basedOn w:val="TableNormal"/>
    <w:uiPriority w:val="39"/>
    <w:rsid w:val="00F7638C"/>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1F14"/>
  </w:style>
  <w:style w:type="character" w:customStyle="1" w:styleId="eop">
    <w:name w:val="eop"/>
    <w:basedOn w:val="DefaultParagraphFont"/>
    <w:rsid w:val="00251F14"/>
  </w:style>
  <w:style w:type="paragraph" w:customStyle="1" w:styleId="paragraph">
    <w:name w:val="paragraph"/>
    <w:basedOn w:val="Normal"/>
    <w:rsid w:val="000B2FA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6006">
      <w:bodyDiv w:val="1"/>
      <w:marLeft w:val="0"/>
      <w:marRight w:val="0"/>
      <w:marTop w:val="0"/>
      <w:marBottom w:val="0"/>
      <w:divBdr>
        <w:top w:val="none" w:sz="0" w:space="0" w:color="auto"/>
        <w:left w:val="none" w:sz="0" w:space="0" w:color="auto"/>
        <w:bottom w:val="none" w:sz="0" w:space="0" w:color="auto"/>
        <w:right w:val="none" w:sz="0" w:space="0" w:color="auto"/>
      </w:divBdr>
      <w:divsChild>
        <w:div w:id="1654985952">
          <w:marLeft w:val="0"/>
          <w:marRight w:val="0"/>
          <w:marTop w:val="0"/>
          <w:marBottom w:val="0"/>
          <w:divBdr>
            <w:top w:val="none" w:sz="0" w:space="0" w:color="auto"/>
            <w:left w:val="none" w:sz="0" w:space="0" w:color="auto"/>
            <w:bottom w:val="none" w:sz="0" w:space="0" w:color="auto"/>
            <w:right w:val="none" w:sz="0" w:space="0" w:color="auto"/>
          </w:divBdr>
        </w:div>
        <w:div w:id="1406222824">
          <w:marLeft w:val="0"/>
          <w:marRight w:val="0"/>
          <w:marTop w:val="0"/>
          <w:marBottom w:val="0"/>
          <w:divBdr>
            <w:top w:val="none" w:sz="0" w:space="0" w:color="auto"/>
            <w:left w:val="none" w:sz="0" w:space="0" w:color="auto"/>
            <w:bottom w:val="none" w:sz="0" w:space="0" w:color="auto"/>
            <w:right w:val="none" w:sz="0" w:space="0" w:color="auto"/>
          </w:divBdr>
        </w:div>
        <w:div w:id="1282298043">
          <w:marLeft w:val="0"/>
          <w:marRight w:val="0"/>
          <w:marTop w:val="0"/>
          <w:marBottom w:val="0"/>
          <w:divBdr>
            <w:top w:val="none" w:sz="0" w:space="0" w:color="auto"/>
            <w:left w:val="none" w:sz="0" w:space="0" w:color="auto"/>
            <w:bottom w:val="none" w:sz="0" w:space="0" w:color="auto"/>
            <w:right w:val="none" w:sz="0" w:space="0" w:color="auto"/>
          </w:divBdr>
        </w:div>
        <w:div w:id="33426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report/iraq/evidencing-value-money-cci-s-cash-and-legal-programmes-cash-consortium-iraq-novem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iefweb.int/report/colombia/value-money-report-venesperanza-prepared-key-aid-consulting-august-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ptratool.org/how-does-dioptra-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2dd2c6-932b-4822-9dbd-d0669e617e0f" xsi:nil="true"/>
    <lcf76f155ced4ddcb4097134ff3c332f xmlns="4e0316ce-b060-4817-b5f5-6985416301e8">
      <Terms xmlns="http://schemas.microsoft.com/office/infopath/2007/PartnerControls"/>
    </lcf76f155ced4ddcb4097134ff3c332f>
    <name xmlns="4e0316ce-b060-4817-b5f5-6985416301e8" xsi:nil="true"/>
    <Indicator_x0023_ xmlns="4e0316ce-b060-4817-b5f5-6985416301e8" xsi:nil="true"/>
  </documentManagement>
</p:properties>
</file>

<file path=customXml/itemProps1.xml><?xml version="1.0" encoding="utf-8"?>
<ds:datastoreItem xmlns:ds="http://schemas.openxmlformats.org/officeDocument/2006/customXml" ds:itemID="{9885DBF4-1A4B-417A-974E-489351ECE83E}"/>
</file>

<file path=customXml/itemProps2.xml><?xml version="1.0" encoding="utf-8"?>
<ds:datastoreItem xmlns:ds="http://schemas.openxmlformats.org/officeDocument/2006/customXml" ds:itemID="{B4296858-D203-4381-98C8-872612D7AC69}">
  <ds:schemaRefs>
    <ds:schemaRef ds:uri="http://schemas.openxmlformats.org/officeDocument/2006/bibliography"/>
  </ds:schemaRefs>
</ds:datastoreItem>
</file>

<file path=customXml/itemProps3.xml><?xml version="1.0" encoding="utf-8"?>
<ds:datastoreItem xmlns:ds="http://schemas.openxmlformats.org/officeDocument/2006/customXml" ds:itemID="{A4252FAE-8058-4D3A-B3FD-ACDC28A6BD11}">
  <ds:schemaRefs>
    <ds:schemaRef ds:uri="http://schemas.microsoft.com/sharepoint/v3/contenttype/forms"/>
  </ds:schemaRefs>
</ds:datastoreItem>
</file>

<file path=customXml/itemProps4.xml><?xml version="1.0" encoding="utf-8"?>
<ds:datastoreItem xmlns:ds="http://schemas.openxmlformats.org/officeDocument/2006/customXml" ds:itemID="{C75310D7-E843-4484-84A5-B8CE979E43E4}">
  <ds:schemaRefs>
    <ds:schemaRef ds:uri="http://schemas.microsoft.com/office/2006/metadata/properties"/>
    <ds:schemaRef ds:uri="http://schemas.microsoft.com/office/infopath/2007/PartnerControls"/>
    <ds:schemaRef ds:uri="3d2dd2c6-932b-4822-9dbd-d0669e617e0f"/>
    <ds:schemaRef ds:uri="4e0316ce-b060-4817-b5f5-6985416301e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2079</Words>
  <Characters>11853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Mercy Corps</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Ercolano</dc:creator>
  <cp:lastModifiedBy>liza zhernokleyeva</cp:lastModifiedBy>
  <cp:revision>8</cp:revision>
  <dcterms:created xsi:type="dcterms:W3CDTF">2023-10-24T07:39:00Z</dcterms:created>
  <dcterms:modified xsi:type="dcterms:W3CDTF">2023-10-24T10:47:00Z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