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EBB6" w14:textId="77777777" w:rsidR="00BB0030" w:rsidRPr="0072267E" w:rsidRDefault="006D4BC7">
      <w:pPr>
        <w:pStyle w:val="Ttulo"/>
        <w:ind w:hanging="2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EA129F3" wp14:editId="67C474E9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1390650" cy="481013"/>
            <wp:effectExtent l="0" t="0" r="0" b="0"/>
            <wp:wrapThrough wrapText="bothSides">
              <wp:wrapPolygon edited="0">
                <wp:start x="0" y="0"/>
                <wp:lineTo x="0" y="20544"/>
                <wp:lineTo x="21304" y="20544"/>
                <wp:lineTo x="21304" y="0"/>
                <wp:lineTo x="0" y="0"/>
              </wp:wrapPolygon>
            </wp:wrapThrough>
            <wp:docPr id="1028" name="image1.jpg" descr="MCbrand_Logo_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MCbrand_Logo_Horizontal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81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908CF8" w14:textId="77777777" w:rsidR="00BB0030" w:rsidRPr="0072267E" w:rsidRDefault="00BB0030">
      <w:pPr>
        <w:tabs>
          <w:tab w:val="center" w:pos="4320"/>
          <w:tab w:val="right" w:pos="8640"/>
        </w:tabs>
        <w:ind w:left="1" w:hanging="3"/>
        <w:jc w:val="center"/>
        <w:rPr>
          <w:rFonts w:ascii="Arial" w:eastAsia="Garamond" w:hAnsi="Arial" w:cs="Arial"/>
          <w:color w:val="000000"/>
          <w:sz w:val="28"/>
          <w:szCs w:val="28"/>
        </w:rPr>
      </w:pPr>
    </w:p>
    <w:p w14:paraId="64D8FC44" w14:textId="177AB226" w:rsidR="00343286" w:rsidRPr="0072267E" w:rsidRDefault="00343286" w:rsidP="00175F92">
      <w:pPr>
        <w:tabs>
          <w:tab w:val="center" w:pos="4320"/>
          <w:tab w:val="right" w:pos="8640"/>
        </w:tabs>
        <w:spacing w:after="0"/>
        <w:ind w:left="1" w:hanging="3"/>
        <w:jc w:val="center"/>
        <w:rPr>
          <w:rFonts w:ascii="Arial" w:eastAsia="Garamond" w:hAnsi="Arial" w:cs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</w:rPr>
        <w:t>Объем работ (MOCK)</w:t>
      </w:r>
    </w:p>
    <w:p w14:paraId="4D7CD67E" w14:textId="2BDF07B6" w:rsidR="00BB0030" w:rsidRPr="0072267E" w:rsidRDefault="003D3078" w:rsidP="00175F92">
      <w:pPr>
        <w:tabs>
          <w:tab w:val="center" w:pos="4320"/>
          <w:tab w:val="right" w:pos="8640"/>
        </w:tabs>
        <w:spacing w:after="0"/>
        <w:ind w:left="1" w:hanging="3"/>
        <w:jc w:val="center"/>
        <w:rPr>
          <w:rFonts w:ascii="Arial" w:eastAsia="Garamond" w:hAnsi="Arial" w:cs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</w:rPr>
        <w:t>Политэкономический анализ (PEA)</w:t>
      </w:r>
    </w:p>
    <w:p w14:paraId="79CFC790" w14:textId="77777777" w:rsidR="00145737" w:rsidRPr="0072267E" w:rsidRDefault="00145737" w:rsidP="00175F92">
      <w:pPr>
        <w:tabs>
          <w:tab w:val="center" w:pos="4320"/>
          <w:tab w:val="right" w:pos="8640"/>
        </w:tabs>
        <w:spacing w:after="0"/>
        <w:ind w:left="1" w:hanging="3"/>
        <w:jc w:val="center"/>
        <w:rPr>
          <w:rFonts w:ascii="Arial" w:eastAsia="Garamond" w:hAnsi="Arial" w:cs="Arial"/>
          <w:b/>
          <w:bCs/>
          <w:color w:val="000000"/>
          <w:sz w:val="28"/>
          <w:szCs w:val="28"/>
        </w:rPr>
      </w:pPr>
    </w:p>
    <w:tbl>
      <w:tblPr>
        <w:tblW w:w="0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7088"/>
      </w:tblGrid>
      <w:tr w:rsidR="00145737" w:rsidRPr="0072267E" w14:paraId="7EEE231F" w14:textId="77777777" w:rsidTr="00145737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A66C64" w14:textId="77777777" w:rsidR="00145737" w:rsidRPr="0072267E" w:rsidRDefault="00145737" w:rsidP="001457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5A5555"/>
                <w:sz w:val="17"/>
                <w:shd w:val="clear" w:color="auto" w:fill="FFFFFF"/>
              </w:rPr>
              <w:t>Программа/ название</w:t>
            </w:r>
            <w:r>
              <w:rPr>
                <w:rFonts w:ascii="Arial" w:hAnsi="Arial"/>
                <w:color w:val="5A5555"/>
                <w:sz w:val="17"/>
              </w:rPr>
              <w:t> 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98FB50" w14:textId="34619C11" w:rsidR="00145737" w:rsidRPr="0072267E" w:rsidRDefault="003D3078" w:rsidP="001457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5A5555"/>
                <w:sz w:val="17"/>
              </w:rPr>
              <w:t>Местное самоуправление для устойчивости (LGR)</w:t>
            </w:r>
          </w:p>
        </w:tc>
      </w:tr>
      <w:tr w:rsidR="00145737" w:rsidRPr="0072267E" w14:paraId="7D170030" w14:textId="77777777" w:rsidTr="00145737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C64E28" w14:textId="77777777" w:rsidR="00145737" w:rsidRPr="0072267E" w:rsidRDefault="00145737" w:rsidP="001457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5A5555"/>
                <w:sz w:val="17"/>
                <w:shd w:val="clear" w:color="auto" w:fill="FFFFFF"/>
              </w:rPr>
              <w:t>Местоположение(-я) программы</w:t>
            </w:r>
            <w:r>
              <w:rPr>
                <w:rFonts w:ascii="Arial" w:hAnsi="Arial"/>
                <w:color w:val="5A5555"/>
                <w:sz w:val="17"/>
              </w:rPr>
              <w:t> 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10B9B" w14:textId="77777777" w:rsidR="00145737" w:rsidRPr="0072267E" w:rsidRDefault="00145737" w:rsidP="001457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5A5555"/>
                <w:sz w:val="17"/>
                <w:shd w:val="clear" w:color="auto" w:fill="FFFFFF"/>
              </w:rPr>
              <w:t>Занаду; вся страна; не имеет выхода к морю и занимает площадь около 25 000 кв. км, граничит с 5 другими государствами </w:t>
            </w:r>
            <w:r>
              <w:rPr>
                <w:rFonts w:ascii="Arial" w:hAnsi="Arial"/>
                <w:color w:val="5A5555"/>
                <w:sz w:val="17"/>
              </w:rPr>
              <w:t> </w:t>
            </w:r>
          </w:p>
        </w:tc>
      </w:tr>
      <w:tr w:rsidR="00145737" w:rsidRPr="0072267E" w14:paraId="1C7FE7FE" w14:textId="77777777" w:rsidTr="00145737">
        <w:trPr>
          <w:trHeight w:val="300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F2B31" w14:textId="77777777" w:rsidR="00145737" w:rsidRPr="0072267E" w:rsidRDefault="00145737" w:rsidP="001457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5A5555"/>
                <w:sz w:val="17"/>
                <w:shd w:val="clear" w:color="auto" w:fill="FFFFFF"/>
              </w:rPr>
              <w:t>Продолжительность</w:t>
            </w:r>
            <w:r>
              <w:rPr>
                <w:rFonts w:ascii="Arial" w:hAnsi="Arial"/>
                <w:color w:val="5A5555"/>
                <w:sz w:val="17"/>
              </w:rPr>
              <w:t> 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D8FD73" w14:textId="085970D3" w:rsidR="00145737" w:rsidRPr="0072267E" w:rsidRDefault="00145737" w:rsidP="0014573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5A5555"/>
                <w:sz w:val="17"/>
              </w:rPr>
              <w:t>Работа должна начаться где-то в период с января по март 2024 года, то есть через 1–2 месяца после начала программы. Итоговый отчет должен быть направлен до 31</w:t>
            </w:r>
            <w:r>
              <w:rPr>
                <w:rFonts w:ascii="Arial" w:hAnsi="Arial"/>
                <w:b/>
                <w:color w:val="5A5555"/>
                <w:sz w:val="17"/>
                <w:vertAlign w:val="superscript"/>
              </w:rPr>
              <w:t xml:space="preserve"> </w:t>
            </w:r>
            <w:r>
              <w:rPr>
                <w:rFonts w:ascii="Arial" w:hAnsi="Arial"/>
                <w:b/>
                <w:color w:val="5A5555"/>
                <w:sz w:val="17"/>
              </w:rPr>
              <w:t>марта 2024 г.</w:t>
            </w:r>
            <w:r>
              <w:rPr>
                <w:rFonts w:ascii="Arial" w:hAnsi="Arial"/>
                <w:color w:val="5A5555"/>
                <w:sz w:val="17"/>
              </w:rPr>
              <w:t> </w:t>
            </w:r>
          </w:p>
        </w:tc>
      </w:tr>
    </w:tbl>
    <w:p w14:paraId="1D040DB3" w14:textId="77777777" w:rsidR="00145737" w:rsidRPr="0072267E" w:rsidRDefault="00145737" w:rsidP="00175F92">
      <w:pPr>
        <w:tabs>
          <w:tab w:val="center" w:pos="4320"/>
          <w:tab w:val="right" w:pos="8640"/>
        </w:tabs>
        <w:spacing w:after="0"/>
        <w:ind w:left="1" w:hanging="3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0B1230B4" w14:textId="77777777" w:rsidR="00BB0030" w:rsidRPr="0072267E" w:rsidRDefault="00BB0030">
      <w:pPr>
        <w:spacing w:after="0" w:line="240" w:lineRule="auto"/>
        <w:jc w:val="both"/>
        <w:rPr>
          <w:rFonts w:ascii="Arial" w:hAnsi="Arial" w:cs="Arial"/>
        </w:rPr>
      </w:pPr>
    </w:p>
    <w:p w14:paraId="53E32735" w14:textId="77777777" w:rsidR="00BB0030" w:rsidRPr="007E3661" w:rsidRDefault="006D4BC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b/>
          <w:color w:val="000000"/>
          <w:sz w:val="21"/>
          <w:szCs w:val="21"/>
        </w:rPr>
        <w:t>Исходная информация:</w:t>
      </w:r>
    </w:p>
    <w:p w14:paraId="4AD8B4CF" w14:textId="7B0B012B" w:rsidR="003D3078" w:rsidRPr="007E3661" w:rsidRDefault="007A1CC0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>Mercy Corps</w:t>
      </w:r>
      <w:r w:rsidRPr="007E3661">
        <w:rPr>
          <w:rFonts w:ascii="Arial" w:hAnsi="Arial"/>
          <w:sz w:val="21"/>
          <w:szCs w:val="21"/>
        </w:rPr>
        <w:t xml:space="preserve"> — ведущая глобальная организация, </w:t>
      </w:r>
      <w:r w:rsidRPr="007E3661">
        <w:rPr>
          <w:rFonts w:ascii="Arial" w:hAnsi="Arial"/>
          <w:color w:val="000000"/>
          <w:sz w:val="21"/>
          <w:szCs w:val="21"/>
        </w:rPr>
        <w:t>основанная на вере в лучшее. Мы работаем  в более чем 40 странах мира, помогаем тем, кто оказался в беде и лишен материальных благ. В Занаду Mercy Corps работает с 2004 года в сельской, пригодной и городской среде в пяти штатах</w:t>
      </w:r>
      <w:r w:rsidR="006D4BC7" w:rsidRPr="007E3661">
        <w:rPr>
          <w:rFonts w:ascii="Arial" w:hAnsi="Arial"/>
          <w:color w:val="000000"/>
          <w:sz w:val="21"/>
          <w:szCs w:val="21"/>
        </w:rPr>
        <w:t xml:space="preserve">. Занаду занимает второе место по численности беженцев в регионе. </w:t>
      </w:r>
    </w:p>
    <w:p w14:paraId="0BE4F401" w14:textId="77777777" w:rsidR="003D3078" w:rsidRPr="007E3661" w:rsidRDefault="003D3078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464BB1D7" w14:textId="3F11F603" w:rsidR="003D3078" w:rsidRPr="007E3661" w:rsidRDefault="003D3078" w:rsidP="003D3078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 xml:space="preserve">Недавно награжденная деятельность LGR будет реализована посредством поэтапного подхода, в котором упор делается на анализ пробелов в фактических данных, а также на партнерство, обучение и совместную работу с правительством, гражданским обществом, сообществами и частным сектором. LGR стремится обеспечить устойчивое улучшение продовольственной безопасности и экономического развития в районах деятельности Занаду. LGR объединяет глобальное лидерство, технические знания и опыт внедрения, необходимые для партнерства с местными учреждениями для тестирования, адаптации и масштабирования научно обоснованных решений. Программа требует надежной разработки, ориентированной на местные органы власти, при активном вовлечении правительства, активном участии сообществ, частного сектора и гражданского общества. Вместе мы устойчиво повысим продовольственную безопасность и экономическое развитие уязвимых групп населения. </w:t>
      </w:r>
    </w:p>
    <w:p w14:paraId="3AF0F387" w14:textId="77777777" w:rsidR="006454BC" w:rsidRPr="007E3661" w:rsidRDefault="006454BC" w:rsidP="003D3078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42AD6A80" w14:textId="01E0A81E" w:rsidR="003D3078" w:rsidRPr="007E3661" w:rsidRDefault="003D3078" w:rsidP="003D3078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>Отделение LGR по укреплению местного самоуправления будет координировать свою деятельность в технических секторах и компонентах программы для поддержки общей благоприятной среды для продовольственной безопасности и процветания сообществ. Такой подход будет основано на стратегическом взаимодействии с местными органами власти, гражданским обществом и общественными структурами, учреждениями и ассоциациями. LGR укрепит потенциал институциональных и местных систем управления и мобилизует сообщества для создания возможностей для подотчетного и инклюзивного управления, а также для создания более безопасных и процветающих сообществ с точки зрения продовольственной безопасности и поддержки системных изменений в управлении и благоприятной среде в отношении существующей политики и законы.</w:t>
      </w:r>
    </w:p>
    <w:p w14:paraId="04BD8449" w14:textId="77777777" w:rsidR="00175F92" w:rsidRPr="007E3661" w:rsidRDefault="00175F92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46438F55" w14:textId="3262430F" w:rsidR="00175F92" w:rsidRPr="007E3661" w:rsidRDefault="00175F92" w:rsidP="00175F9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b/>
          <w:color w:val="000000"/>
          <w:sz w:val="21"/>
          <w:szCs w:val="21"/>
        </w:rPr>
        <w:t>Цель:</w:t>
      </w:r>
    </w:p>
    <w:p w14:paraId="2744A4AE" w14:textId="40B73960" w:rsidR="006454BC" w:rsidRPr="007E3661" w:rsidRDefault="006454BC" w:rsidP="0072267E">
      <w:pPr>
        <w:spacing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>Целью данного анализа является ответ на вопрос: Какие политэкономические факторы влияют на политику, институты и динамику принятия решений сообществом в целях развития и устойчивости путем регулирования продовольственной безопасности и экономическое развитие сообществ в сообществах LGR? Этот анализ позволит:</w:t>
      </w:r>
    </w:p>
    <w:p w14:paraId="05524A6C" w14:textId="5D566E51" w:rsidR="006454BC" w:rsidRPr="007E3661" w:rsidRDefault="006454BC" w:rsidP="006454BC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lastRenderedPageBreak/>
        <w:t xml:space="preserve">информировать о проектировании программы и стратегии деятельности LGR, а также влиять на ее подход </w:t>
      </w:r>
      <w:r w:rsidR="0059391A" w:rsidRPr="007E3661">
        <w:rPr>
          <w:rFonts w:ascii="Arial" w:hAnsi="Arial"/>
          <w:color w:val="000000"/>
          <w:sz w:val="21"/>
          <w:szCs w:val="21"/>
        </w:rPr>
        <w:t xml:space="preserve">к </w:t>
      </w:r>
      <w:r w:rsidRPr="007E3661">
        <w:rPr>
          <w:rFonts w:ascii="Arial" w:hAnsi="Arial"/>
          <w:color w:val="000000"/>
          <w:sz w:val="21"/>
          <w:szCs w:val="21"/>
        </w:rPr>
        <w:t>правительствам стран-партнеров и другим заинтересованным сторонам</w:t>
      </w:r>
    </w:p>
    <w:p w14:paraId="5977D184" w14:textId="6EFD0C8A" w:rsidR="006454BC" w:rsidRPr="007E3661" w:rsidRDefault="006454BC" w:rsidP="0072267E">
      <w:pPr>
        <w:pStyle w:val="Prrafodelista"/>
        <w:numPr>
          <w:ilvl w:val="0"/>
          <w:numId w:val="33"/>
        </w:numPr>
        <w:spacing w:after="240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>изучить динамику принятия и реализации решений в различных соответствующих технических областях, в которых будет работать LGR; и определить факторы, которые будут способствовать или препятствовать изменениям, реформам и прогрессу в этих секторах.</w:t>
      </w:r>
    </w:p>
    <w:p w14:paraId="64467A4B" w14:textId="1599CCA6" w:rsidR="006454BC" w:rsidRPr="007E3661" w:rsidRDefault="006454BC" w:rsidP="006454BC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>Этот анализ также послужит для обеспечения фундаментального понимания основных сильных сторон деятельности, институциональных и системных пробелов в потенциале местного правительства, а также их отношений со структурами субокруга и сообществами.</w:t>
      </w:r>
    </w:p>
    <w:p w14:paraId="40A4A409" w14:textId="77777777" w:rsidR="00471693" w:rsidRPr="007E3661" w:rsidRDefault="00471693" w:rsidP="006454BC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12DB6A10" w14:textId="0FDABA07" w:rsidR="00471693" w:rsidRPr="007E3661" w:rsidRDefault="00471693" w:rsidP="006454BC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noProof/>
          <w:color w:val="000000"/>
          <w:sz w:val="21"/>
          <w:szCs w:val="21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1F591E" wp14:editId="2EAAB73C">
                <wp:simplePos x="0" y="0"/>
                <wp:positionH relativeFrom="margin">
                  <wp:posOffset>0</wp:posOffset>
                </wp:positionH>
                <wp:positionV relativeFrom="paragraph">
                  <wp:posOffset>208915</wp:posOffset>
                </wp:positionV>
                <wp:extent cx="5613400" cy="6350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0A230" w14:textId="78ED3DE9" w:rsidR="00471693" w:rsidRDefault="00471693" w:rsidP="00471693">
                            <w:r w:rsidRPr="007E3661">
                              <w:rPr>
                                <w:rFonts w:ascii="Arial" w:hAnsi="Arial"/>
                                <w:color w:val="000000"/>
                                <w:sz w:val="21"/>
                                <w:szCs w:val="21"/>
                              </w:rPr>
                              <w:t>Не копируйте и не вставляйте эти цели в свое техническое предложение. Вам необходимо обратиться к данному техзаданию SOW только в том случае, если вы хотите обратиться к целям (например, для достижения целей 1 и/или 2 из ТЗ мы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 предлагаем…….)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F59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45pt;width:442pt;height:5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">
                <v:textbox>
                  <w:txbxContent>
                    <w:p w14:paraId="0680A230" w14:textId="78ED3DE9" w:rsidR="00471693" w:rsidRDefault="00471693" w:rsidP="00471693">
                      <w:r w:rsidRPr="007E3661">
                        <w:rPr>
                          <w:rFonts w:ascii="Arial" w:hAnsi="Arial"/>
                          <w:color w:val="000000"/>
                          <w:sz w:val="21"/>
                          <w:szCs w:val="21"/>
                        </w:rPr>
                        <w:t>Не копируйте и не вставляйте эти цели в свое техническое предложение. Вам необходимо обратиться к данному техзаданию SOW только в том случае, если вы хотите обратиться к целям (например, для достижения целей 1 и/или 2 из ТЗ мы</w:t>
                      </w:r>
                      <w:r>
                        <w:rPr>
                          <w:rFonts w:ascii="Arial" w:hAnsi="Arial"/>
                          <w:color w:val="000000"/>
                        </w:rPr>
                        <w:t xml:space="preserve"> предлагаем…….)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B8BF19" w14:textId="77777777" w:rsidR="006454BC" w:rsidRPr="007E3661" w:rsidRDefault="006454BC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0345C688" w14:textId="1589A78F" w:rsidR="00F36B2F" w:rsidRPr="007E3661" w:rsidRDefault="00F36B2F" w:rsidP="0025477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b/>
          <w:color w:val="000000"/>
          <w:sz w:val="21"/>
          <w:szCs w:val="21"/>
        </w:rPr>
        <w:t>Объем запроса</w:t>
      </w:r>
    </w:p>
    <w:p w14:paraId="26D8ABA7" w14:textId="77777777" w:rsidR="00E32B3A" w:rsidRPr="007E3661" w:rsidRDefault="00E32B3A" w:rsidP="00E32B3A">
      <w:pPr>
        <w:rPr>
          <w:rFonts w:ascii="Arial" w:hAnsi="Arial" w:cs="Arial"/>
          <w:sz w:val="21"/>
          <w:szCs w:val="21"/>
          <w:u w:val="single"/>
        </w:rPr>
      </w:pPr>
      <w:r w:rsidRPr="007E3661">
        <w:rPr>
          <w:rFonts w:ascii="Arial" w:hAnsi="Arial"/>
          <w:sz w:val="21"/>
          <w:szCs w:val="21"/>
          <w:u w:val="single"/>
        </w:rPr>
        <w:t>Уровни анализа PEA</w:t>
      </w:r>
    </w:p>
    <w:p w14:paraId="613DEA4D" w14:textId="7E791A60" w:rsidR="00E32B3A" w:rsidRPr="007E3661" w:rsidRDefault="00E32B3A" w:rsidP="00E32B3A">
      <w:pPr>
        <w:numPr>
          <w:ilvl w:val="0"/>
          <w:numId w:val="36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  <w:u w:val="single"/>
        </w:rPr>
        <w:t>PEA на уровне округа</w:t>
      </w:r>
      <w:r w:rsidRPr="007E3661">
        <w:rPr>
          <w:rFonts w:ascii="Arial" w:hAnsi="Arial"/>
          <w:sz w:val="21"/>
          <w:szCs w:val="21"/>
        </w:rPr>
        <w:t>: Анализ политической и экономической динамики на уровне округа, влияющей на перспективы успешного развития. Этот анализ будет охватывать динамику округов, а также отношения и влияние соседних округов.</w:t>
      </w:r>
    </w:p>
    <w:p w14:paraId="1F527480" w14:textId="07DC3196" w:rsidR="00E32B3A" w:rsidRPr="007E3661" w:rsidRDefault="00E32B3A" w:rsidP="00E32B3A">
      <w:pPr>
        <w:numPr>
          <w:ilvl w:val="0"/>
          <w:numId w:val="36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  <w:u w:val="single"/>
        </w:rPr>
        <w:t>Сектор PEA</w:t>
      </w:r>
      <w:r w:rsidRPr="007E3661">
        <w:rPr>
          <w:rFonts w:ascii="Arial" w:hAnsi="Arial"/>
          <w:sz w:val="21"/>
          <w:szCs w:val="21"/>
        </w:rPr>
        <w:t>: Анализ будет посвящен соответствующим секторам LGR, в том числе сельскому хозяйству и окружающей среде, природным ресурсам, гендерному вопросу и планированию, а также другим вопросам, с описанием структур, учреждений и заинтересованных сторон, которые формируют эти сектора в каждом округе.</w:t>
      </w:r>
    </w:p>
    <w:p w14:paraId="394C14E3" w14:textId="5CAD043A" w:rsidR="00E32B3A" w:rsidRPr="007E3661" w:rsidRDefault="00E32B3A" w:rsidP="00E32B3A">
      <w:pPr>
        <w:numPr>
          <w:ilvl w:val="0"/>
          <w:numId w:val="36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  <w:u w:val="single"/>
        </w:rPr>
        <w:t>Региональное правительство</w:t>
      </w:r>
      <w:r w:rsidRPr="007E3661">
        <w:rPr>
          <w:rFonts w:ascii="Arial" w:hAnsi="Arial"/>
          <w:sz w:val="21"/>
          <w:szCs w:val="21"/>
        </w:rPr>
        <w:t>: Анализ конкретных факторов, дифференцирующих регион и влияющих на перспективы успешного развития отрасли.</w:t>
      </w:r>
    </w:p>
    <w:p w14:paraId="36CA1FC2" w14:textId="77777777" w:rsidR="00E32B3A" w:rsidRPr="007E3661" w:rsidRDefault="00E32B3A" w:rsidP="0025477D">
      <w:pPr>
        <w:numPr>
          <w:ilvl w:val="0"/>
          <w:numId w:val="36"/>
        </w:numPr>
        <w:spacing w:line="276" w:lineRule="auto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  <w:u w:val="single"/>
        </w:rPr>
        <w:t>Анализ проблем и возможностей</w:t>
      </w:r>
      <w:r w:rsidRPr="007E3661">
        <w:rPr>
          <w:rFonts w:ascii="Arial" w:hAnsi="Arial"/>
          <w:sz w:val="21"/>
          <w:szCs w:val="21"/>
        </w:rPr>
        <w:t>: Выявление узких мест и возможностей, связанных с политической экономией, для повышения благосостояния общества, особенно институциональных аспектов и динамики развития власти.</w:t>
      </w:r>
    </w:p>
    <w:p w14:paraId="5114303B" w14:textId="74880679" w:rsidR="00E32B3A" w:rsidRPr="007E3661" w:rsidRDefault="00E32B3A" w:rsidP="00E32B3A">
      <w:pPr>
        <w:rPr>
          <w:rFonts w:ascii="Arial" w:hAnsi="Arial" w:cs="Arial"/>
          <w:sz w:val="21"/>
          <w:szCs w:val="21"/>
          <w:u w:val="single"/>
        </w:rPr>
      </w:pPr>
      <w:r w:rsidRPr="007E3661">
        <w:rPr>
          <w:rFonts w:ascii="Arial" w:hAnsi="Arial"/>
          <w:sz w:val="21"/>
          <w:szCs w:val="21"/>
          <w:u w:val="single"/>
        </w:rPr>
        <w:t>Подробная область применения PEA</w:t>
      </w:r>
    </w:p>
    <w:p w14:paraId="0E8B2ED7" w14:textId="77777777" w:rsidR="00E32B3A" w:rsidRPr="007E3661" w:rsidRDefault="00E32B3A" w:rsidP="00E32B3A">
      <w:pPr>
        <w:numPr>
          <w:ilvl w:val="0"/>
          <w:numId w:val="35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  <w:u w:val="single"/>
        </w:rPr>
        <w:t>Структурная/благоприятная среда</w:t>
      </w:r>
      <w:r w:rsidRPr="007E3661">
        <w:rPr>
          <w:rFonts w:ascii="Arial" w:hAnsi="Arial"/>
          <w:sz w:val="21"/>
          <w:szCs w:val="21"/>
        </w:rPr>
        <w:t>: Долгосрочные контекстуальные факторы, имеющие отношение к направлению развития округа, на которые вряд ли можно будет легко повлиять либо из-за необходимого временного масштаба, либо потому, что они определяются за пределами страны и/или региона. К ним могут относиться экономические и социальные структуры и нормы, геостратегическое положение, обеспеченность природными ресурсами, демографические сдвиги, изменение климата, а также конфликтные или постконфликтные условия.</w:t>
      </w:r>
    </w:p>
    <w:p w14:paraId="21A5390C" w14:textId="19A2B7C1" w:rsidR="00E32B3A" w:rsidRPr="007E3661" w:rsidRDefault="00E32B3A" w:rsidP="009C0770">
      <w:pPr>
        <w:numPr>
          <w:ilvl w:val="0"/>
          <w:numId w:val="35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  <w:u w:val="single"/>
        </w:rPr>
        <w:t>Политэкономика</w:t>
      </w:r>
      <w:r w:rsidRPr="007E3661">
        <w:rPr>
          <w:rFonts w:ascii="Arial" w:hAnsi="Arial"/>
          <w:sz w:val="21"/>
          <w:szCs w:val="21"/>
        </w:rPr>
        <w:t xml:space="preserve">: Роль, которую формальные и неформальные экономические, политические и социальные институты (например, верховенство закона; выборы; социальные, политические и культурные нормы, ценности и идеи; рынки) играют в формировании человеческого взаимодействия и конкуренции за власть и ресурсы. Это также должно включать анализ возможностей и практики окружного правительства, а также политических интересов, влияющих на то, как они сформированы. </w:t>
      </w:r>
    </w:p>
    <w:p w14:paraId="5A8A46AB" w14:textId="77777777" w:rsidR="00E32B3A" w:rsidRPr="007E3661" w:rsidRDefault="00E32B3A" w:rsidP="00E32B3A">
      <w:pPr>
        <w:numPr>
          <w:ilvl w:val="0"/>
          <w:numId w:val="35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  <w:u w:val="single"/>
        </w:rPr>
        <w:lastRenderedPageBreak/>
        <w:t>Анализ мощности</w:t>
      </w:r>
      <w:r w:rsidRPr="007E3661">
        <w:rPr>
          <w:rFonts w:ascii="Arial" w:hAnsi="Arial"/>
          <w:sz w:val="21"/>
          <w:szCs w:val="21"/>
        </w:rPr>
        <w:t xml:space="preserve">: Кто обладает властью и влиянием в обществе (округ/сообщество/местные субъекты, например, церковь/частный сектор и т. д.), и как это проявляется в том, как принимаются решения? </w:t>
      </w:r>
    </w:p>
    <w:p w14:paraId="05C5E8A3" w14:textId="77777777" w:rsidR="00E32B3A" w:rsidRPr="007E3661" w:rsidRDefault="00E32B3A" w:rsidP="00E32B3A">
      <w:pPr>
        <w:numPr>
          <w:ilvl w:val="1"/>
          <w:numId w:val="35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</w:rPr>
        <w:t>Определите наиболее влиятельных игроков, каковы их интересы и стимулы, а также то, как они формируют общую динамику секторов, включая осуществимость политических реформ в секторах.</w:t>
      </w:r>
    </w:p>
    <w:p w14:paraId="147A78E1" w14:textId="77777777" w:rsidR="00E32B3A" w:rsidRPr="007E3661" w:rsidRDefault="00E32B3A" w:rsidP="00E32B3A">
      <w:pPr>
        <w:numPr>
          <w:ilvl w:val="1"/>
          <w:numId w:val="35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</w:rPr>
        <w:t xml:space="preserve">Узнайте, как лучше всего привлечь влиятельных актеров/политических деятелей, включая лучшие моменты.  </w:t>
      </w:r>
    </w:p>
    <w:p w14:paraId="397C040A" w14:textId="77777777" w:rsidR="00E32B3A" w:rsidRPr="007E3661" w:rsidRDefault="00E32B3A" w:rsidP="00E32B3A">
      <w:pPr>
        <w:numPr>
          <w:ilvl w:val="0"/>
          <w:numId w:val="35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  <w:u w:val="single"/>
        </w:rPr>
        <w:t>Оценка институционального потенциала правительства округа</w:t>
      </w:r>
      <w:r w:rsidRPr="007E3661">
        <w:rPr>
          <w:rFonts w:ascii="Arial" w:hAnsi="Arial"/>
          <w:sz w:val="21"/>
          <w:szCs w:val="21"/>
        </w:rPr>
        <w:t xml:space="preserve">: Каковы сильные и слабые стороны правительства каждого округа и его департаментов с точки зрения эффективности и потенциала? Что функционирует хорошо, а что требует инвестиций и улучшений? Детализируйте аспекты общего планирования округа, составления бюджета и реализации (оказания услуг), а также координации отраслевых планов и программ, имеющих отношение к более широким планам развития округа. </w:t>
      </w:r>
    </w:p>
    <w:p w14:paraId="65B3C53A" w14:textId="77777777" w:rsidR="00E32B3A" w:rsidRPr="007E3661" w:rsidRDefault="00E32B3A" w:rsidP="00E32B3A">
      <w:pPr>
        <w:numPr>
          <w:ilvl w:val="0"/>
          <w:numId w:val="35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  <w:u w:val="single"/>
        </w:rPr>
        <w:t>Управление природными ресурсами:</w:t>
      </w:r>
      <w:r w:rsidRPr="007E3661">
        <w:rPr>
          <w:rFonts w:ascii="Arial" w:hAnsi="Arial"/>
          <w:sz w:val="21"/>
          <w:szCs w:val="21"/>
        </w:rPr>
        <w:t xml:space="preserve"> Как ключевые принципы NRM применяются в округах, т. е. легитимность, прозрачность, подотчетность, инклюзивность, справедливость, целостность, возможности и адаптируемость</w:t>
      </w:r>
      <w:r w:rsidRPr="007E3661">
        <w:rPr>
          <w:rFonts w:ascii="Arial" w:hAnsi="Arial"/>
          <w:color w:val="222222"/>
          <w:sz w:val="21"/>
          <w:szCs w:val="21"/>
          <w:highlight w:val="white"/>
        </w:rPr>
        <w:t>.</w:t>
      </w:r>
    </w:p>
    <w:p w14:paraId="3CA23ADB" w14:textId="77777777" w:rsidR="00E32B3A" w:rsidRPr="007E3661" w:rsidRDefault="00E32B3A" w:rsidP="00E32B3A">
      <w:pPr>
        <w:numPr>
          <w:ilvl w:val="1"/>
          <w:numId w:val="35"/>
        </w:numPr>
        <w:spacing w:after="0" w:line="276" w:lineRule="auto"/>
        <w:rPr>
          <w:rFonts w:ascii="Arial" w:hAnsi="Arial" w:cs="Arial"/>
          <w:color w:val="222222"/>
          <w:sz w:val="21"/>
          <w:szCs w:val="21"/>
          <w:highlight w:val="white"/>
        </w:rPr>
      </w:pPr>
      <w:r w:rsidRPr="007E3661">
        <w:rPr>
          <w:rFonts w:ascii="Arial" w:hAnsi="Arial"/>
          <w:sz w:val="21"/>
          <w:szCs w:val="21"/>
        </w:rPr>
        <w:t>Определить узкие места и ограничения эффективного NRM как на уровне правительства, так и на уровне сообщества</w:t>
      </w:r>
      <w:r w:rsidRPr="007E3661">
        <w:rPr>
          <w:rFonts w:ascii="Arial" w:hAnsi="Arial"/>
          <w:color w:val="222222"/>
          <w:sz w:val="21"/>
          <w:szCs w:val="21"/>
          <w:highlight w:val="white"/>
        </w:rPr>
        <w:t>.</w:t>
      </w:r>
    </w:p>
    <w:p w14:paraId="36B8B5E8" w14:textId="77777777" w:rsidR="00E32B3A" w:rsidRPr="007E3661" w:rsidRDefault="00E32B3A" w:rsidP="00E32B3A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222222"/>
          <w:sz w:val="21"/>
          <w:szCs w:val="21"/>
          <w:highlight w:val="white"/>
        </w:rPr>
      </w:pPr>
      <w:r w:rsidRPr="007E3661">
        <w:rPr>
          <w:rFonts w:ascii="Arial" w:hAnsi="Arial"/>
          <w:sz w:val="21"/>
          <w:szCs w:val="21"/>
        </w:rPr>
        <w:t>Проанализируйте, кто из действующих лиц в округе представляет собой препятствие для инклюзивных и основанных на гражданах земельных реформ?</w:t>
      </w:r>
    </w:p>
    <w:p w14:paraId="672750A8" w14:textId="77777777" w:rsidR="00E32B3A" w:rsidRPr="007E3661" w:rsidRDefault="00E32B3A" w:rsidP="00E32B3A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222222"/>
          <w:sz w:val="21"/>
          <w:szCs w:val="21"/>
          <w:highlight w:val="white"/>
        </w:rPr>
      </w:pPr>
      <w:r w:rsidRPr="007E3661">
        <w:rPr>
          <w:rFonts w:ascii="Arial" w:hAnsi="Arial"/>
          <w:sz w:val="21"/>
          <w:szCs w:val="21"/>
        </w:rPr>
        <w:t>Определить примеры передовой практики там, где они существуют, и дать соответствующие рекомендации, извлеченные из уроков, для контекстного применения или предложить передовую практику</w:t>
      </w:r>
    </w:p>
    <w:p w14:paraId="53195460" w14:textId="33EB9525" w:rsidR="00BB0030" w:rsidRPr="007E3661" w:rsidRDefault="00E32B3A" w:rsidP="009C0770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sz w:val="21"/>
          <w:szCs w:val="21"/>
          <w:highlight w:val="white"/>
        </w:rPr>
      </w:pPr>
      <w:r w:rsidRPr="007E3661">
        <w:rPr>
          <w:rFonts w:ascii="Arial" w:hAnsi="Arial"/>
          <w:sz w:val="21"/>
          <w:szCs w:val="21"/>
          <w:highlight w:val="white"/>
        </w:rPr>
        <w:t xml:space="preserve">Какие формальные и неформальные институты существуют для целей NRM? Имеют ли они четко определенный и признанный мандат? Каковы их отношения друг с другом (сообществом и правительством), соседями? </w:t>
      </w:r>
    </w:p>
    <w:p w14:paraId="59491C1D" w14:textId="66B3ECEE" w:rsidR="00124831" w:rsidRPr="007E3661" w:rsidRDefault="00124831" w:rsidP="00124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2A485563" w14:textId="152F6559" w:rsidR="00124831" w:rsidRPr="007E3661" w:rsidRDefault="00124831" w:rsidP="001248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74BC55A5" w14:textId="3D25DD1C" w:rsidR="002C7815" w:rsidRPr="007E3661" w:rsidRDefault="002C7815" w:rsidP="00F36B2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7E3661">
        <w:rPr>
          <w:rFonts w:ascii="Arial" w:hAnsi="Arial"/>
          <w:b/>
          <w:color w:val="000000"/>
          <w:sz w:val="21"/>
          <w:szCs w:val="21"/>
        </w:rPr>
        <w:t>Методология</w:t>
      </w:r>
    </w:p>
    <w:p w14:paraId="20C13C81" w14:textId="77777777" w:rsidR="002C7815" w:rsidRPr="007E3661" w:rsidRDefault="002C7815" w:rsidP="002C78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cs="Arial"/>
          <w:b/>
          <w:sz w:val="21"/>
          <w:szCs w:val="21"/>
        </w:rPr>
      </w:pPr>
    </w:p>
    <w:p w14:paraId="208513FF" w14:textId="40F0E635" w:rsidR="00BB0030" w:rsidRPr="007E3661" w:rsidRDefault="006D4B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cs="Arial"/>
          <w:b/>
          <w:i/>
          <w:iCs/>
          <w:color w:val="000000"/>
          <w:sz w:val="21"/>
          <w:szCs w:val="21"/>
        </w:rPr>
      </w:pPr>
      <w:r w:rsidRPr="007E3661">
        <w:rPr>
          <w:rFonts w:ascii="Arial" w:hAnsi="Arial"/>
          <w:b/>
          <w:i/>
          <w:sz w:val="21"/>
          <w:szCs w:val="21"/>
        </w:rPr>
        <w:t xml:space="preserve">3.1 </w:t>
      </w:r>
      <w:r w:rsidRPr="007E3661">
        <w:rPr>
          <w:rFonts w:ascii="Arial" w:hAnsi="Arial"/>
          <w:b/>
          <w:i/>
          <w:color w:val="000000"/>
          <w:sz w:val="21"/>
          <w:szCs w:val="21"/>
        </w:rPr>
        <w:t xml:space="preserve">Проект анализа </w:t>
      </w:r>
    </w:p>
    <w:p w14:paraId="7FA11946" w14:textId="2D5B72F7" w:rsidR="00BB0030" w:rsidRPr="007E3661" w:rsidRDefault="006D4B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>В рамках этого задания Mercy Corps ожидает, что поставщик услуг предоставит как качественную (собранную</w:t>
      </w:r>
      <w:r w:rsidRPr="007E3661">
        <w:rPr>
          <w:rFonts w:ascii="Arial" w:hAnsi="Arial"/>
          <w:sz w:val="21"/>
          <w:szCs w:val="21"/>
        </w:rPr>
        <w:t xml:space="preserve"> посредством первичных и вторичных данных), </w:t>
      </w:r>
      <w:r w:rsidRPr="007E3661">
        <w:rPr>
          <w:rFonts w:ascii="Arial" w:hAnsi="Arial"/>
          <w:color w:val="000000"/>
          <w:sz w:val="21"/>
          <w:szCs w:val="21"/>
        </w:rPr>
        <w:t>так и количественную информацию</w:t>
      </w:r>
      <w:r w:rsidRPr="007E3661">
        <w:rPr>
          <w:rFonts w:ascii="Arial" w:hAnsi="Arial"/>
          <w:sz w:val="21"/>
          <w:szCs w:val="21"/>
        </w:rPr>
        <w:t xml:space="preserve"> (собранную посредством опроса)</w:t>
      </w:r>
      <w:r w:rsidRPr="007E3661">
        <w:rPr>
          <w:rFonts w:ascii="Arial" w:hAnsi="Arial"/>
          <w:color w:val="000000"/>
          <w:sz w:val="21"/>
          <w:szCs w:val="21"/>
        </w:rPr>
        <w:t>, которая</w:t>
      </w:r>
      <w:r w:rsidRPr="007E3661">
        <w:rPr>
          <w:rFonts w:ascii="Arial" w:hAnsi="Arial"/>
          <w:sz w:val="21"/>
          <w:szCs w:val="21"/>
        </w:rPr>
        <w:t xml:space="preserve"> будет использоваться </w:t>
      </w:r>
      <w:r w:rsidRPr="007E3661">
        <w:rPr>
          <w:rFonts w:ascii="Arial" w:hAnsi="Arial"/>
          <w:color w:val="000000"/>
          <w:sz w:val="21"/>
          <w:szCs w:val="21"/>
        </w:rPr>
        <w:t>для адаптации</w:t>
      </w:r>
      <w:r w:rsidRPr="007E3661">
        <w:rPr>
          <w:rFonts w:ascii="Arial" w:hAnsi="Arial"/>
          <w:sz w:val="21"/>
          <w:szCs w:val="21"/>
        </w:rPr>
        <w:t xml:space="preserve"> существующих </w:t>
      </w:r>
      <w:r w:rsidRPr="007E3661">
        <w:rPr>
          <w:rFonts w:ascii="Arial" w:hAnsi="Arial"/>
          <w:color w:val="000000"/>
          <w:sz w:val="21"/>
          <w:szCs w:val="21"/>
        </w:rPr>
        <w:t xml:space="preserve">мероприятий. Первичные данные будут получены посредством интервью с ключевыми информантами (KII), дискуссий в целевых группах (FGD) и опроса домохозяйств. Ожидается, что поставщик услуг предоставит примерное количество KII, FGD и опросов на основе предлагаемых заинтересованных сторон, которые будут охвачены этим анализом. </w:t>
      </w:r>
    </w:p>
    <w:p w14:paraId="7F73143D" w14:textId="530CA1F6" w:rsidR="00BB0030" w:rsidRPr="007E3661" w:rsidRDefault="006D4BC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>Инструменты сбора данных должны быть разработаны в рамках различных областей запросов для различных целевых групп, включая членов сообщества, представителей правительства, представителей NGO, частных лиц, членов команды Mercy Corps и т. д.</w:t>
      </w:r>
    </w:p>
    <w:p w14:paraId="7CDC51CE" w14:textId="77777777" w:rsidR="00BB0030" w:rsidRPr="007E3661" w:rsidRDefault="00BB003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B3B5089" w14:textId="3A90FF77" w:rsidR="00BB0030" w:rsidRPr="007E3661" w:rsidRDefault="006D4BC7">
      <w:pPr>
        <w:spacing w:after="0" w:line="240" w:lineRule="auto"/>
        <w:ind w:left="720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7E3661">
        <w:rPr>
          <w:rFonts w:ascii="Arial" w:hAnsi="Arial"/>
          <w:b/>
          <w:i/>
          <w:sz w:val="21"/>
          <w:szCs w:val="21"/>
        </w:rPr>
        <w:t>3.2 Анализ и результаты</w:t>
      </w:r>
    </w:p>
    <w:p w14:paraId="54B25D89" w14:textId="4D3848F0" w:rsidR="00E12138" w:rsidRPr="007E3661" w:rsidRDefault="006D4BC7" w:rsidP="00E121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 xml:space="preserve">Результаты анализа должны быть </w:t>
      </w:r>
      <w:r w:rsidRPr="007E3661">
        <w:rPr>
          <w:rFonts w:ascii="Arial" w:hAnsi="Arial"/>
          <w:sz w:val="21"/>
          <w:szCs w:val="21"/>
        </w:rPr>
        <w:t xml:space="preserve">изучены </w:t>
      </w:r>
      <w:r w:rsidRPr="007E3661">
        <w:rPr>
          <w:rFonts w:ascii="Arial" w:hAnsi="Arial"/>
          <w:color w:val="000000"/>
          <w:sz w:val="21"/>
          <w:szCs w:val="21"/>
        </w:rPr>
        <w:t xml:space="preserve">на основе различных тематических областей, имеющих отношение к цели проекта, и принятой структуры политэкономического анализа. Ожидается, что поставщик услуг будет использовать </w:t>
      </w:r>
      <w:r w:rsidRPr="007E3661">
        <w:rPr>
          <w:rFonts w:ascii="Arial" w:hAnsi="Arial"/>
          <w:color w:val="000000"/>
          <w:sz w:val="21"/>
          <w:szCs w:val="21"/>
        </w:rPr>
        <w:lastRenderedPageBreak/>
        <w:t>программное обеспечение для качественного анализа данных (например, MAXQDA) для анализа качественных данных.</w:t>
      </w:r>
    </w:p>
    <w:p w14:paraId="685FFE5C" w14:textId="59BB3818" w:rsidR="00CF7F8E" w:rsidRPr="007E3661" w:rsidRDefault="00CF7F8E" w:rsidP="00E121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 xml:space="preserve"> </w:t>
      </w:r>
    </w:p>
    <w:p w14:paraId="066784F5" w14:textId="47435060" w:rsidR="001971A6" w:rsidRPr="007E3661" w:rsidRDefault="001971A6" w:rsidP="001971A6">
      <w:pPr>
        <w:spacing w:after="0" w:line="240" w:lineRule="auto"/>
        <w:ind w:left="720"/>
        <w:jc w:val="both"/>
        <w:rPr>
          <w:rFonts w:ascii="Arial" w:hAnsi="Arial" w:cs="Arial"/>
          <w:b/>
          <w:i/>
          <w:color w:val="000000"/>
          <w:sz w:val="21"/>
          <w:szCs w:val="21"/>
        </w:rPr>
      </w:pPr>
      <w:r w:rsidRPr="007E3661">
        <w:rPr>
          <w:rFonts w:ascii="Arial" w:hAnsi="Arial"/>
          <w:b/>
          <w:i/>
          <w:sz w:val="21"/>
          <w:szCs w:val="21"/>
        </w:rPr>
        <w:t xml:space="preserve">3.3 Семинар </w:t>
      </w:r>
      <w:r w:rsidRPr="007E3661">
        <w:rPr>
          <w:rFonts w:ascii="Arial" w:hAnsi="Arial"/>
          <w:b/>
          <w:i/>
          <w:color w:val="000000"/>
          <w:sz w:val="21"/>
          <w:szCs w:val="21"/>
        </w:rPr>
        <w:t>по осмыслению и командной консультации</w:t>
      </w:r>
    </w:p>
    <w:p w14:paraId="4C646AEB" w14:textId="571837D8" w:rsidR="001971A6" w:rsidRPr="007E3661" w:rsidRDefault="001971A6" w:rsidP="001971A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>Поставщик услуг в сотрудничестве с командой управления Mercy Corps организует</w:t>
      </w:r>
      <w:r w:rsidRPr="007E3661">
        <w:rPr>
          <w:rFonts w:ascii="Arial" w:hAnsi="Arial"/>
          <w:sz w:val="21"/>
          <w:szCs w:val="21"/>
        </w:rPr>
        <w:t xml:space="preserve"> </w:t>
      </w:r>
      <w:r w:rsidR="007A1CC0" w:rsidRPr="007E3661">
        <w:rPr>
          <w:rFonts w:ascii="Arial" w:hAnsi="Arial"/>
          <w:sz w:val="21"/>
          <w:szCs w:val="21"/>
        </w:rPr>
        <w:t xml:space="preserve">рабочие </w:t>
      </w:r>
      <w:r w:rsidRPr="007E3661">
        <w:rPr>
          <w:rFonts w:ascii="Arial" w:hAnsi="Arial"/>
          <w:color w:val="000000"/>
          <w:sz w:val="21"/>
          <w:szCs w:val="21"/>
        </w:rPr>
        <w:t>семинар</w:t>
      </w:r>
      <w:r w:rsidR="007A1CC0" w:rsidRPr="007E3661">
        <w:rPr>
          <w:rFonts w:ascii="Arial" w:hAnsi="Arial"/>
          <w:color w:val="000000"/>
          <w:sz w:val="21"/>
          <w:szCs w:val="21"/>
        </w:rPr>
        <w:t>ы</w:t>
      </w:r>
      <w:r w:rsidRPr="007E3661">
        <w:rPr>
          <w:rFonts w:ascii="Arial" w:hAnsi="Arial"/>
          <w:color w:val="000000"/>
          <w:sz w:val="21"/>
          <w:szCs w:val="21"/>
        </w:rPr>
        <w:t xml:space="preserve"> с командой LGR и соответствующими участниками для обмена предварительными</w:t>
      </w:r>
      <w:r w:rsidRPr="007E3661">
        <w:rPr>
          <w:rFonts w:ascii="Arial" w:hAnsi="Arial"/>
          <w:sz w:val="21"/>
          <w:szCs w:val="21"/>
        </w:rPr>
        <w:t xml:space="preserve"> выводами </w:t>
      </w:r>
      <w:r w:rsidRPr="007E3661">
        <w:rPr>
          <w:rFonts w:ascii="Arial" w:hAnsi="Arial"/>
          <w:color w:val="000000"/>
          <w:sz w:val="21"/>
          <w:szCs w:val="21"/>
        </w:rPr>
        <w:t xml:space="preserve">и их подтверждения, чтобы получить обратную связь для определения приоритетных областей мер.  </w:t>
      </w:r>
    </w:p>
    <w:p w14:paraId="787AC30D" w14:textId="0DFCD23F" w:rsidR="002E0BBB" w:rsidRPr="007E3661" w:rsidRDefault="001971A6" w:rsidP="002E0BB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 xml:space="preserve"> Проведение консультации после семинара по валидации с командой LGR для обсуждения выводов, приоритетов и адаптации к деятельности LGR, а также качественных и количественных показателей. </w:t>
      </w:r>
    </w:p>
    <w:p w14:paraId="50D1344C" w14:textId="77777777" w:rsidR="001971A6" w:rsidRPr="007E3661" w:rsidRDefault="001971A6" w:rsidP="001971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14AE1A06" w14:textId="604FDD86" w:rsidR="001971A6" w:rsidRPr="007E3661" w:rsidRDefault="001971A6" w:rsidP="001971A6">
      <w:pPr>
        <w:spacing w:after="0" w:line="240" w:lineRule="auto"/>
        <w:ind w:left="720"/>
        <w:jc w:val="both"/>
        <w:rPr>
          <w:rFonts w:ascii="Arial" w:hAnsi="Arial" w:cs="Arial"/>
          <w:b/>
          <w:i/>
          <w:color w:val="000000"/>
          <w:sz w:val="21"/>
          <w:szCs w:val="21"/>
        </w:rPr>
      </w:pPr>
      <w:r w:rsidRPr="007E3661">
        <w:rPr>
          <w:rFonts w:ascii="Arial" w:hAnsi="Arial"/>
          <w:b/>
          <w:i/>
          <w:sz w:val="21"/>
          <w:szCs w:val="21"/>
        </w:rPr>
        <w:t xml:space="preserve">3.2 Завершение отчета </w:t>
      </w:r>
    </w:p>
    <w:p w14:paraId="17BFCBE6" w14:textId="57232D63" w:rsidR="001971A6" w:rsidRPr="007E3661" w:rsidRDefault="001971A6" w:rsidP="001971A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sz w:val="21"/>
          <w:szCs w:val="21"/>
        </w:rPr>
        <w:t>Ожидается</w:t>
      </w:r>
      <w:r w:rsidRPr="007E3661">
        <w:rPr>
          <w:rFonts w:ascii="Arial" w:hAnsi="Arial"/>
          <w:color w:val="000000"/>
          <w:sz w:val="21"/>
          <w:szCs w:val="21"/>
        </w:rPr>
        <w:t>, что на основе</w:t>
      </w:r>
      <w:r w:rsidRPr="007E3661">
        <w:rPr>
          <w:rFonts w:ascii="Arial" w:hAnsi="Arial"/>
          <w:sz w:val="21"/>
          <w:szCs w:val="21"/>
        </w:rPr>
        <w:t xml:space="preserve"> </w:t>
      </w:r>
      <w:r w:rsidRPr="007E3661">
        <w:rPr>
          <w:rFonts w:ascii="Arial" w:hAnsi="Arial"/>
          <w:color w:val="000000"/>
          <w:sz w:val="21"/>
          <w:szCs w:val="21"/>
        </w:rPr>
        <w:t xml:space="preserve">результатов анализа и проверки результатов в ходе </w:t>
      </w:r>
      <w:r w:rsidR="007A1CC0" w:rsidRPr="007E3661">
        <w:rPr>
          <w:rFonts w:ascii="Arial" w:hAnsi="Arial"/>
          <w:color w:val="000000"/>
          <w:sz w:val="21"/>
          <w:szCs w:val="21"/>
        </w:rPr>
        <w:t xml:space="preserve">рабочего </w:t>
      </w:r>
      <w:r w:rsidRPr="007E3661">
        <w:rPr>
          <w:rFonts w:ascii="Arial" w:hAnsi="Arial"/>
          <w:color w:val="000000"/>
          <w:sz w:val="21"/>
          <w:szCs w:val="21"/>
        </w:rPr>
        <w:t xml:space="preserve">семинара поставщик услуг включит в отчет конкретные рекомендации по адаптации деятельности. </w:t>
      </w:r>
    </w:p>
    <w:p w14:paraId="32E1FA38" w14:textId="499C7BEE" w:rsidR="001971A6" w:rsidRPr="007E3661" w:rsidRDefault="001971A6" w:rsidP="001971A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>На всех этапах анализа и доработки поставщик услуг должен проводить</w:t>
      </w:r>
      <w:r w:rsidRPr="007E3661">
        <w:rPr>
          <w:rFonts w:ascii="Arial" w:hAnsi="Arial"/>
          <w:sz w:val="21"/>
          <w:szCs w:val="21"/>
        </w:rPr>
        <w:t xml:space="preserve"> регулярные </w:t>
      </w:r>
      <w:r w:rsidRPr="007E3661">
        <w:rPr>
          <w:rFonts w:ascii="Arial" w:hAnsi="Arial"/>
          <w:color w:val="000000"/>
          <w:sz w:val="21"/>
          <w:szCs w:val="21"/>
        </w:rPr>
        <w:t>консультативные встречи с командой Mercy Corps, чтобы</w:t>
      </w:r>
      <w:r w:rsidRPr="007E3661">
        <w:rPr>
          <w:rFonts w:ascii="Arial" w:hAnsi="Arial"/>
          <w:sz w:val="21"/>
          <w:szCs w:val="21"/>
        </w:rPr>
        <w:t xml:space="preserve"> обеспечить </w:t>
      </w:r>
      <w:r w:rsidRPr="007E3661">
        <w:rPr>
          <w:rFonts w:ascii="Arial" w:hAnsi="Arial"/>
          <w:color w:val="000000"/>
          <w:sz w:val="21"/>
          <w:szCs w:val="21"/>
        </w:rPr>
        <w:t>общее понимание задания и окончательных результатов.</w:t>
      </w:r>
    </w:p>
    <w:p w14:paraId="15089C79" w14:textId="77777777" w:rsidR="001971A6" w:rsidRPr="007E3661" w:rsidRDefault="001971A6" w:rsidP="001971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57A66F2D" w14:textId="7B911996" w:rsidR="00CF7F8E" w:rsidRPr="007E3661" w:rsidRDefault="00CF7F8E" w:rsidP="00CF7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b/>
          <w:color w:val="000000"/>
          <w:sz w:val="21"/>
          <w:szCs w:val="21"/>
        </w:rPr>
        <w:t>Этические соображения:</w:t>
      </w:r>
      <w:r w:rsidRPr="007E3661">
        <w:rPr>
          <w:rFonts w:ascii="Arial" w:hAnsi="Arial"/>
          <w:color w:val="000000"/>
          <w:sz w:val="21"/>
          <w:szCs w:val="21"/>
        </w:rPr>
        <w:t xml:space="preserve"> Ожидается, что поставщик услуг будет соблюдать все этические </w:t>
      </w:r>
      <w:r w:rsidR="006D4BC7" w:rsidRPr="007E3661">
        <w:rPr>
          <w:rFonts w:ascii="Arial" w:hAnsi="Arial"/>
          <w:color w:val="000000"/>
          <w:sz w:val="21"/>
          <w:szCs w:val="21"/>
        </w:rPr>
        <w:t>нормы</w:t>
      </w:r>
      <w:r w:rsidRPr="007E3661">
        <w:rPr>
          <w:rFonts w:ascii="Arial" w:hAnsi="Arial"/>
          <w:color w:val="000000"/>
          <w:sz w:val="21"/>
          <w:szCs w:val="21"/>
        </w:rPr>
        <w:t>, включая принцип «Не навреди».</w:t>
      </w:r>
    </w:p>
    <w:p w14:paraId="342F4F57" w14:textId="77777777" w:rsidR="00BB0030" w:rsidRPr="007E3661" w:rsidRDefault="00BB0030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679B12F9" w14:textId="43550298" w:rsidR="00BB0030" w:rsidRPr="007E3661" w:rsidRDefault="006D4BC7" w:rsidP="0002705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b/>
          <w:color w:val="000000"/>
          <w:sz w:val="21"/>
          <w:szCs w:val="21"/>
        </w:rPr>
        <w:t>Ожидаемые документы</w:t>
      </w:r>
    </w:p>
    <w:p w14:paraId="4333BB1D" w14:textId="77777777" w:rsidR="00BB0030" w:rsidRPr="007E3661" w:rsidRDefault="006D4BC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</w:rPr>
        <w:t>Ожидается, что консультант предоставит следующие документы:</w:t>
      </w:r>
    </w:p>
    <w:p w14:paraId="329E2D84" w14:textId="77777777" w:rsidR="00BB0030" w:rsidRPr="007E3661" w:rsidRDefault="00BB003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6013B5D" w14:textId="77777777" w:rsidR="00CF7F8E" w:rsidRPr="007E3661" w:rsidRDefault="00CF7F8E" w:rsidP="00CF7F8E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/>
          <w:i/>
          <w:vanish/>
          <w:color w:val="000000"/>
          <w:sz w:val="21"/>
          <w:szCs w:val="21"/>
        </w:rPr>
      </w:pPr>
    </w:p>
    <w:p w14:paraId="51EE95AD" w14:textId="77777777" w:rsidR="00CF7F8E" w:rsidRPr="007E3661" w:rsidRDefault="00CF7F8E" w:rsidP="00CF7F8E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/>
          <w:i/>
          <w:vanish/>
          <w:color w:val="000000"/>
          <w:sz w:val="21"/>
          <w:szCs w:val="21"/>
        </w:rPr>
      </w:pPr>
    </w:p>
    <w:p w14:paraId="5B994C42" w14:textId="77777777" w:rsidR="00CF7F8E" w:rsidRPr="007E3661" w:rsidRDefault="00CF7F8E" w:rsidP="00CF7F8E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/>
          <w:i/>
          <w:vanish/>
          <w:color w:val="000000"/>
          <w:sz w:val="21"/>
          <w:szCs w:val="21"/>
        </w:rPr>
      </w:pPr>
    </w:p>
    <w:p w14:paraId="1EE15981" w14:textId="77777777" w:rsidR="00CF7F8E" w:rsidRPr="007E3661" w:rsidRDefault="00CF7F8E" w:rsidP="00CF7F8E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/>
          <w:i/>
          <w:vanish/>
          <w:color w:val="000000"/>
          <w:sz w:val="21"/>
          <w:szCs w:val="21"/>
        </w:rPr>
      </w:pPr>
    </w:p>
    <w:p w14:paraId="3FD21343" w14:textId="77777777" w:rsidR="00CF7F8E" w:rsidRPr="007E3661" w:rsidRDefault="00CF7F8E" w:rsidP="00CF7F8E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/>
          <w:i/>
          <w:vanish/>
          <w:color w:val="000000"/>
          <w:sz w:val="21"/>
          <w:szCs w:val="21"/>
        </w:rPr>
      </w:pPr>
    </w:p>
    <w:p w14:paraId="3499F996" w14:textId="3EB033DF" w:rsidR="00CF7F8E" w:rsidRPr="007E3661" w:rsidRDefault="00CF7F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>Вступительный отчет:</w:t>
      </w:r>
    </w:p>
    <w:p w14:paraId="78C8683B" w14:textId="35FEF477" w:rsidR="00484FAA" w:rsidRPr="007E3661" w:rsidRDefault="00484FAA" w:rsidP="00484FAA">
      <w:pPr>
        <w:numPr>
          <w:ilvl w:val="1"/>
          <w:numId w:val="3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</w:rPr>
        <w:t xml:space="preserve">С методической картой </w:t>
      </w:r>
    </w:p>
    <w:p w14:paraId="3B5397EB" w14:textId="77777777" w:rsidR="00484FAA" w:rsidRPr="007E3661" w:rsidRDefault="00484FAA" w:rsidP="00484FAA">
      <w:pPr>
        <w:numPr>
          <w:ilvl w:val="1"/>
          <w:numId w:val="3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</w:rPr>
        <w:t>Уточненный и подтвержденный объем требований и наводящие вопросы</w:t>
      </w:r>
    </w:p>
    <w:p w14:paraId="42C31A70" w14:textId="51DA125A" w:rsidR="00484FAA" w:rsidRPr="007E3661" w:rsidRDefault="00484FAA" w:rsidP="00484FAA">
      <w:pPr>
        <w:numPr>
          <w:ilvl w:val="1"/>
          <w:numId w:val="3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>методология исследования</w:t>
      </w:r>
    </w:p>
    <w:p w14:paraId="3EE5CE95" w14:textId="77777777" w:rsidR="00484FAA" w:rsidRPr="007E3661" w:rsidRDefault="00484FAA" w:rsidP="00484FAA">
      <w:pPr>
        <w:numPr>
          <w:ilvl w:val="1"/>
          <w:numId w:val="3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 xml:space="preserve">инструменты для собеседования (английский и местный язык) </w:t>
      </w:r>
    </w:p>
    <w:p w14:paraId="31DCF558" w14:textId="1132F715" w:rsidR="00484FAA" w:rsidRPr="007E3661" w:rsidRDefault="00484FAA" w:rsidP="00484FAA">
      <w:pPr>
        <w:numPr>
          <w:ilvl w:val="1"/>
          <w:numId w:val="3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>пересмотренный план работы</w:t>
      </w:r>
    </w:p>
    <w:p w14:paraId="071BC796" w14:textId="2CBB73C0" w:rsidR="00484FAA" w:rsidRPr="007E3661" w:rsidRDefault="00484FAA" w:rsidP="00484FAA">
      <w:pPr>
        <w:numPr>
          <w:ilvl w:val="1"/>
          <w:numId w:val="3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</w:rPr>
        <w:t>Краткое описание разделов итогового отчета</w:t>
      </w:r>
    </w:p>
    <w:p w14:paraId="72A0300E" w14:textId="77777777" w:rsidR="00675B71" w:rsidRPr="007E3661" w:rsidRDefault="001971A6" w:rsidP="00E121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 xml:space="preserve">Проект отчета с выводами </w:t>
      </w:r>
    </w:p>
    <w:p w14:paraId="11609AB2" w14:textId="77777777" w:rsidR="00675B71" w:rsidRPr="007E3661" w:rsidRDefault="00675B71" w:rsidP="00D342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 xml:space="preserve">Анонимные заметки, а также KII, FGD и любые данные опросов (исходные данные на английском и местном языках). </w:t>
      </w:r>
    </w:p>
    <w:p w14:paraId="4B843ADE" w14:textId="307847A0" w:rsidR="001971A6" w:rsidRPr="007E3661" w:rsidRDefault="001971A6" w:rsidP="00D342C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>Отчет о семинаре, посвященном осмыслению и проверке выводов проекта отчета.</w:t>
      </w:r>
    </w:p>
    <w:p w14:paraId="23CF105D" w14:textId="73FCD313" w:rsidR="00BB0030" w:rsidRPr="007E3661" w:rsidRDefault="001971A6" w:rsidP="001971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>Итоговый отчет с подтвержденными выводами, конкретными рекомендациями, планами действий, основанными на цели проекта, и предлагаемыми мероприятиями в соответствии с выводами.</w:t>
      </w:r>
    </w:p>
    <w:p w14:paraId="38BB8351" w14:textId="318E8A2C" w:rsidR="00675B71" w:rsidRPr="007E3661" w:rsidRDefault="00027059" w:rsidP="001971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>Двухстраничный сводный лист</w:t>
      </w:r>
    </w:p>
    <w:p w14:paraId="59B37475" w14:textId="77777777" w:rsidR="00BB0030" w:rsidRPr="007E3661" w:rsidRDefault="00BB0030">
      <w:pPr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</w:p>
    <w:p w14:paraId="50370954" w14:textId="77777777" w:rsidR="00D335A2" w:rsidRPr="007E3661" w:rsidRDefault="00D335A2" w:rsidP="00F36B2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b/>
          <w:color w:val="000000"/>
          <w:sz w:val="21"/>
          <w:szCs w:val="21"/>
        </w:rPr>
        <w:t xml:space="preserve">Обязанность Mercy Corps  </w:t>
      </w:r>
    </w:p>
    <w:p w14:paraId="49FD474D" w14:textId="77777777" w:rsidR="00D335A2" w:rsidRPr="007E3661" w:rsidRDefault="00D335A2" w:rsidP="00D33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0359CBB9" w14:textId="77777777" w:rsidR="00D335A2" w:rsidRPr="007E3661" w:rsidRDefault="00124831" w:rsidP="0012483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</w:rPr>
        <w:t>Mercy Corps предоставит необходимую поддержку для выполнения и выполнения задания и достижения цели настоящего SoW. К таким обязанностям относятся следующие:</w:t>
      </w:r>
    </w:p>
    <w:p w14:paraId="59D0D013" w14:textId="40C05B00" w:rsidR="00D335A2" w:rsidRPr="007E3661" w:rsidRDefault="00124831" w:rsidP="0012483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</w:rPr>
        <w:t>Предоставьте соответствующие программные документы, руководства и инструменты, связанные с PEA, а также другие соответствующие документы.</w:t>
      </w:r>
    </w:p>
    <w:p w14:paraId="1BCC8096" w14:textId="77777777" w:rsidR="00D335A2" w:rsidRPr="007E3661" w:rsidRDefault="00124831" w:rsidP="00D335A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</w:rPr>
        <w:lastRenderedPageBreak/>
        <w:t>Ориентируйте команду на любую соответствующую и полезную информацию о программе и организации.</w:t>
      </w:r>
    </w:p>
    <w:p w14:paraId="4F6731F5" w14:textId="03833447" w:rsidR="00D335A2" w:rsidRPr="007E3661" w:rsidRDefault="007A1CC0" w:rsidP="008467C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</w:rPr>
        <w:t xml:space="preserve">Предоставьте вспомогательные </w:t>
      </w:r>
      <w:r w:rsidR="00124831" w:rsidRPr="007E3661">
        <w:rPr>
          <w:rFonts w:ascii="Arial" w:hAnsi="Arial"/>
          <w:sz w:val="21"/>
          <w:szCs w:val="21"/>
        </w:rPr>
        <w:t>услуг</w:t>
      </w:r>
      <w:r w:rsidRPr="007E3661">
        <w:rPr>
          <w:rFonts w:ascii="Arial" w:hAnsi="Arial"/>
          <w:sz w:val="21"/>
          <w:szCs w:val="21"/>
        </w:rPr>
        <w:t>и</w:t>
      </w:r>
      <w:r w:rsidR="00124831" w:rsidRPr="007E3661">
        <w:rPr>
          <w:rFonts w:ascii="Arial" w:hAnsi="Arial"/>
          <w:sz w:val="21"/>
          <w:szCs w:val="21"/>
        </w:rPr>
        <w:t xml:space="preserve"> в планировании исследования, разработке инструментов, сборе данных, анализе данных и процессе завершения отчета.</w:t>
      </w:r>
    </w:p>
    <w:p w14:paraId="72BFAFDE" w14:textId="040D174C" w:rsidR="00D335A2" w:rsidRPr="007E3661" w:rsidRDefault="00124831" w:rsidP="0012483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</w:rPr>
        <w:t>Разработайте план сбора данных и распределите поддержку на местах для своевременной связи с командой по вопросам логистики и мер безопасности.</w:t>
      </w:r>
    </w:p>
    <w:p w14:paraId="46E79E99" w14:textId="5B7944C9" w:rsidR="00124831" w:rsidRPr="007E3661" w:rsidRDefault="007A1CC0" w:rsidP="0012483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</w:rPr>
        <w:t>Осуществляйте р</w:t>
      </w:r>
      <w:r w:rsidR="00124831" w:rsidRPr="007E3661">
        <w:rPr>
          <w:rFonts w:ascii="Arial" w:hAnsi="Arial"/>
          <w:sz w:val="21"/>
          <w:szCs w:val="21"/>
        </w:rPr>
        <w:t>егулярный мониторинг, предоставление обратной связи и обеспечение эффективности обучения; и,</w:t>
      </w:r>
    </w:p>
    <w:p w14:paraId="1268E51F" w14:textId="2F5D740A" w:rsidR="00D335A2" w:rsidRPr="007E3661" w:rsidRDefault="00D335A2" w:rsidP="00D335A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</w:rPr>
        <w:t xml:space="preserve">Mercy Corps предоставит все телефоны, планшеты и необходимое программное обеспечение (Mercy Corps имеет подписки на SPSS, Stata, MaxQDA, Commcare, Atlas.ti, Ona, которых могут использоваться фирмой на время проведения данного исследования)  </w:t>
      </w:r>
    </w:p>
    <w:p w14:paraId="0E5ACF03" w14:textId="67E133B4" w:rsidR="00D335A2" w:rsidRPr="007E3661" w:rsidRDefault="00D335A2" w:rsidP="00D335A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</w:rPr>
        <w:t xml:space="preserve">Mercy Corps предоставит все транспортные средства, необходимые для первичного сбора данных, с топливом и водителем (а также зарплатой и суточными для водителя).  В каждом автомобиле с комфортом могут разместиться 4 человека (помимо водителя).  Это полноприводные автомобили 4X4. Фирме необходимо лишь указать в своем предложении, сколько автомобилей потребуется и на сколько дней.  </w:t>
      </w:r>
    </w:p>
    <w:p w14:paraId="7CC4640D" w14:textId="5650A750" w:rsidR="00D335A2" w:rsidRPr="007E3661" w:rsidRDefault="00D335A2" w:rsidP="00D335A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</w:rPr>
        <w:t xml:space="preserve">Mercy Corps </w:t>
      </w:r>
      <w:r w:rsidR="007A1CC0" w:rsidRPr="007E3661">
        <w:rPr>
          <w:rFonts w:ascii="Arial" w:hAnsi="Arial"/>
          <w:sz w:val="21"/>
          <w:szCs w:val="21"/>
        </w:rPr>
        <w:t>поможет</w:t>
      </w:r>
      <w:r w:rsidRPr="007E3661">
        <w:rPr>
          <w:rFonts w:ascii="Arial" w:hAnsi="Arial"/>
          <w:sz w:val="21"/>
          <w:szCs w:val="21"/>
        </w:rPr>
        <w:t xml:space="preserve"> фирме забронировать места в гостиницах для сборщиков данных, им нужно лишь знать количество сборщиков данных и руководителей, которых наймет ваша фирма. </w:t>
      </w:r>
    </w:p>
    <w:p w14:paraId="388AD8AB" w14:textId="6A84DE2B" w:rsidR="00D335A2" w:rsidRPr="007E3661" w:rsidRDefault="00D335A2" w:rsidP="00D335A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</w:rPr>
        <w:t xml:space="preserve">У Mercy Corps есть офис с конференц-залом, достаточно большим, чтобы обучить до 30 сборщиков данных, и он будет доступен фирме.   </w:t>
      </w:r>
    </w:p>
    <w:p w14:paraId="42687A49" w14:textId="2C66976D" w:rsidR="00D335A2" w:rsidRPr="007E3661" w:rsidRDefault="00D335A2" w:rsidP="00D335A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</w:rPr>
        <w:t xml:space="preserve">Mercy Corps оплатит все услуги по переводу.  </w:t>
      </w:r>
    </w:p>
    <w:p w14:paraId="23B51DAC" w14:textId="0543759C" w:rsidR="00BB0030" w:rsidRPr="007E3661" w:rsidRDefault="00BB0030" w:rsidP="0012483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83D97E3" w14:textId="5134A60F" w:rsidR="00D335A2" w:rsidRPr="007E3661" w:rsidRDefault="00D335A2" w:rsidP="00F36B2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7E3661">
        <w:rPr>
          <w:rFonts w:ascii="Arial" w:hAnsi="Arial"/>
          <w:b/>
          <w:color w:val="000000"/>
          <w:sz w:val="21"/>
          <w:szCs w:val="21"/>
        </w:rPr>
        <w:t xml:space="preserve">Качество данных безопасность и защита людей. </w:t>
      </w:r>
    </w:p>
    <w:p w14:paraId="5CBB4D8C" w14:textId="77777777" w:rsidR="00D335A2" w:rsidRPr="007E3661" w:rsidRDefault="00D335A2" w:rsidP="00D33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 xml:space="preserve">Качество данных не должно подвергаться риску, и следует проявлять максимальную осторожность, чтобы избежать или, по крайней мере, свести к минимуму ошибки на всех этапах сбора данных. Как защита личной информации (PII), а также безопасность и благополучие участников (защита людей) также должны быть описаны в техническом предложении. </w:t>
      </w:r>
    </w:p>
    <w:p w14:paraId="189AEBF9" w14:textId="77777777" w:rsidR="00D335A2" w:rsidRPr="007E3661" w:rsidRDefault="00D335A2" w:rsidP="00D33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cs="Arial"/>
          <w:color w:val="000000"/>
          <w:sz w:val="21"/>
          <w:szCs w:val="21"/>
        </w:rPr>
      </w:pPr>
    </w:p>
    <w:p w14:paraId="0A5B6975" w14:textId="6140A400" w:rsidR="00D335A2" w:rsidRPr="007E3661" w:rsidRDefault="00D335A2" w:rsidP="00F36B2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7E3661">
        <w:rPr>
          <w:rFonts w:ascii="Arial" w:hAnsi="Arial"/>
          <w:b/>
          <w:color w:val="000000"/>
          <w:sz w:val="21"/>
          <w:szCs w:val="21"/>
        </w:rPr>
        <w:t xml:space="preserve">Предоставление выводов/соображений. </w:t>
      </w:r>
    </w:p>
    <w:p w14:paraId="6AC85469" w14:textId="6F2F8F29" w:rsidR="00D335A2" w:rsidRPr="007E3661" w:rsidRDefault="00D335A2" w:rsidP="00D33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cs="Arial"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 xml:space="preserve">Необходимо представить окончательный отчет, а фирма должна организовать и провести (удаленно) презентацию полученных результатов с использованием подхода, основанного на осмыслении результатов, для команды LGR и </w:t>
      </w:r>
      <w:r w:rsidR="006D4BC7" w:rsidRPr="007E3661">
        <w:rPr>
          <w:rFonts w:ascii="Arial" w:hAnsi="Arial"/>
          <w:color w:val="000000"/>
          <w:sz w:val="21"/>
          <w:szCs w:val="21"/>
        </w:rPr>
        <w:t>других сотрудников,</w:t>
      </w:r>
      <w:r w:rsidRPr="007E3661">
        <w:rPr>
          <w:rFonts w:ascii="Arial" w:hAnsi="Arial"/>
          <w:color w:val="000000"/>
          <w:sz w:val="21"/>
          <w:szCs w:val="21"/>
        </w:rPr>
        <w:t xml:space="preserve"> и партнеров Mercy Corps, если Mercy Corps сочтет это целесообразным.</w:t>
      </w:r>
    </w:p>
    <w:p w14:paraId="21A9691E" w14:textId="77777777" w:rsidR="00D335A2" w:rsidRPr="007E3661" w:rsidRDefault="00D335A2" w:rsidP="00D33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cs="Arial"/>
          <w:color w:val="000000"/>
          <w:sz w:val="21"/>
          <w:szCs w:val="21"/>
        </w:rPr>
      </w:pPr>
    </w:p>
    <w:p w14:paraId="41689534" w14:textId="67FAA6DA" w:rsidR="00D335A2" w:rsidRPr="007E3661" w:rsidRDefault="00D335A2" w:rsidP="00F36B2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7E3661">
        <w:rPr>
          <w:rFonts w:ascii="Arial" w:hAnsi="Arial"/>
          <w:b/>
          <w:color w:val="000000"/>
          <w:sz w:val="21"/>
          <w:szCs w:val="21"/>
        </w:rPr>
        <w:t>Состав команды. </w:t>
      </w:r>
    </w:p>
    <w:p w14:paraId="561D3425" w14:textId="6C8E882B" w:rsidR="00D13EDF" w:rsidRPr="007E3661" w:rsidRDefault="009646F3" w:rsidP="009646F3">
      <w:pPr>
        <w:spacing w:after="0" w:line="240" w:lineRule="auto"/>
        <w:ind w:left="720"/>
        <w:jc w:val="both"/>
        <w:rPr>
          <w:rStyle w:val="eop"/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E3661">
        <w:rPr>
          <w:rStyle w:val="normaltextrun"/>
          <w:rFonts w:ascii="Arial" w:hAnsi="Arial"/>
          <w:color w:val="000000"/>
          <w:sz w:val="21"/>
          <w:szCs w:val="21"/>
          <w:shd w:val="clear" w:color="auto" w:fill="FFFFFF"/>
        </w:rPr>
        <w:t xml:space="preserve">Компания должна предложить экономически эффективную команду для этой оценки. Роль членов команды должна быть описана в разделе II (техническое предложение), но каждый член команды должен быть указан по должности/функции в разделе III («Предложение LOE»). Обратите внимание, что предлагаемый состав команды </w:t>
      </w:r>
      <w:r w:rsidRPr="007E3661">
        <w:rPr>
          <w:rStyle w:val="normaltextrun"/>
          <w:rFonts w:ascii="Arial" w:hAnsi="Arial"/>
          <w:b/>
          <w:color w:val="000000"/>
          <w:sz w:val="21"/>
          <w:szCs w:val="21"/>
          <w:shd w:val="clear" w:color="auto" w:fill="FFFFFF"/>
        </w:rPr>
        <w:t xml:space="preserve">необязательно должен соответствовать </w:t>
      </w:r>
      <w:r w:rsidR="007A1CC0" w:rsidRPr="007E3661">
        <w:rPr>
          <w:rStyle w:val="normaltextrun"/>
          <w:rFonts w:ascii="Arial" w:hAnsi="Arial"/>
          <w:b/>
          <w:color w:val="000000"/>
          <w:sz w:val="21"/>
          <w:szCs w:val="21"/>
          <w:shd w:val="clear" w:color="auto" w:fill="FFFFFF"/>
        </w:rPr>
        <w:t xml:space="preserve">требованиям </w:t>
      </w:r>
      <w:r w:rsidRPr="007E3661">
        <w:rPr>
          <w:rStyle w:val="normaltextrun"/>
          <w:rFonts w:ascii="Arial" w:hAnsi="Arial"/>
          <w:b/>
          <w:color w:val="000000"/>
          <w:sz w:val="21"/>
          <w:szCs w:val="21"/>
          <w:shd w:val="clear" w:color="auto" w:fill="FFFFFF"/>
        </w:rPr>
        <w:t>или включать две роли, описанные в разделе Представление резюме</w:t>
      </w:r>
      <w:r w:rsidRPr="007E3661">
        <w:rPr>
          <w:rStyle w:val="normaltextrun"/>
          <w:rFonts w:ascii="Arial" w:hAnsi="Arial"/>
          <w:color w:val="000000"/>
          <w:sz w:val="21"/>
          <w:szCs w:val="21"/>
          <w:shd w:val="clear" w:color="auto" w:fill="FFFFFF"/>
        </w:rPr>
        <w:t xml:space="preserve"> – два профиля, описанные в разделе 10, предназначены только для представления резюме.</w:t>
      </w:r>
      <w:r w:rsidRPr="007E3661">
        <w:rPr>
          <w:rStyle w:val="eop"/>
          <w:rFonts w:ascii="Arial" w:hAnsi="Arial"/>
          <w:color w:val="000000"/>
          <w:sz w:val="21"/>
          <w:szCs w:val="21"/>
          <w:shd w:val="clear" w:color="auto" w:fill="FFFFFF"/>
        </w:rPr>
        <w:t> </w:t>
      </w:r>
    </w:p>
    <w:p w14:paraId="76B96553" w14:textId="77777777" w:rsidR="009646F3" w:rsidRPr="007E3661" w:rsidRDefault="009646F3" w:rsidP="00D13ED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FB9D660" w14:textId="467CC18A" w:rsidR="0003622C" w:rsidRPr="007E3661" w:rsidRDefault="0003622C" w:rsidP="0003622C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sz w:val="21"/>
          <w:szCs w:val="21"/>
        </w:rPr>
      </w:pPr>
      <w:r w:rsidRPr="007E3661">
        <w:rPr>
          <w:rFonts w:ascii="Arial" w:hAnsi="Arial"/>
          <w:b/>
          <w:sz w:val="21"/>
          <w:szCs w:val="21"/>
        </w:rPr>
        <w:t xml:space="preserve"> Представление резюме</w:t>
      </w:r>
    </w:p>
    <w:p w14:paraId="45A4F8D6" w14:textId="77777777" w:rsidR="008630DC" w:rsidRPr="007E3661" w:rsidRDefault="008630DC" w:rsidP="008630DC">
      <w:pPr>
        <w:pStyle w:val="paragraph"/>
        <w:spacing w:before="0" w:beforeAutospacing="0" w:after="240" w:afterAutospacing="0"/>
        <w:ind w:left="810"/>
        <w:textAlignment w:val="baseline"/>
        <w:rPr>
          <w:rFonts w:ascii="Segoe UI" w:hAnsi="Segoe UI" w:cs="Segoe UI"/>
          <w:sz w:val="21"/>
          <w:szCs w:val="21"/>
        </w:rPr>
      </w:pPr>
      <w:r w:rsidRPr="007E3661">
        <w:rPr>
          <w:rStyle w:val="normaltextrun"/>
          <w:rFonts w:ascii="Arial" w:hAnsi="Arial"/>
          <w:color w:val="000000"/>
          <w:sz w:val="21"/>
          <w:szCs w:val="21"/>
        </w:rPr>
        <w:t xml:space="preserve">Предоставьте одно резюме действующего сотрудника на две перечисленные ниже должности (всего не более 2 резюме). </w:t>
      </w:r>
      <w:r w:rsidRPr="007E3661">
        <w:rPr>
          <w:rStyle w:val="normaltextrun"/>
          <w:rFonts w:ascii="Arial" w:hAnsi="Arial"/>
          <w:b/>
          <w:color w:val="000000"/>
          <w:sz w:val="21"/>
          <w:szCs w:val="21"/>
        </w:rPr>
        <w:t>Используйте предоставленный шаблон резюме</w:t>
      </w:r>
      <w:r w:rsidRPr="007E3661">
        <w:rPr>
          <w:rStyle w:val="normaltextrun"/>
          <w:rFonts w:ascii="Arial" w:hAnsi="Arial"/>
          <w:color w:val="000000"/>
          <w:sz w:val="21"/>
          <w:szCs w:val="21"/>
        </w:rPr>
        <w:t xml:space="preserve">. Компании должны представить сотрудников, которые, по их мнению, наиболее квалифицированы для этого проекта. </w:t>
      </w:r>
      <w:r w:rsidRPr="007E3661">
        <w:rPr>
          <w:rStyle w:val="normaltextrun"/>
          <w:rFonts w:ascii="Arial" w:hAnsi="Arial"/>
          <w:b/>
          <w:color w:val="000000"/>
          <w:sz w:val="21"/>
          <w:szCs w:val="21"/>
        </w:rPr>
        <w:t xml:space="preserve">Представленные резюме не </w:t>
      </w:r>
      <w:r w:rsidRPr="007E3661">
        <w:rPr>
          <w:rStyle w:val="normaltextrun"/>
          <w:rFonts w:ascii="Arial" w:hAnsi="Arial"/>
          <w:b/>
          <w:color w:val="000000"/>
          <w:sz w:val="21"/>
          <w:szCs w:val="21"/>
        </w:rPr>
        <w:lastRenderedPageBreak/>
        <w:t>обязательно должны соответствовать должностям или персоналу, указанному в разделе «Предложение LOE».</w:t>
      </w:r>
      <w:r w:rsidRPr="007E3661">
        <w:rPr>
          <w:rStyle w:val="normaltextrun"/>
          <w:rFonts w:ascii="Arial" w:hAnsi="Arial"/>
          <w:color w:val="000000"/>
          <w:sz w:val="21"/>
          <w:szCs w:val="21"/>
        </w:rPr>
        <w:t xml:space="preserve"> Отправьте следующие резюме: </w:t>
      </w:r>
      <w:r w:rsidRPr="007E3661">
        <w:rPr>
          <w:rStyle w:val="eop"/>
          <w:rFonts w:ascii="Arial" w:hAnsi="Arial"/>
          <w:color w:val="000000"/>
          <w:sz w:val="21"/>
          <w:szCs w:val="21"/>
        </w:rPr>
        <w:t> </w:t>
      </w:r>
    </w:p>
    <w:p w14:paraId="64EAF56B" w14:textId="77777777" w:rsidR="008630DC" w:rsidRPr="007E3661" w:rsidRDefault="008630DC" w:rsidP="008630DC">
      <w:pPr>
        <w:pStyle w:val="paragraph"/>
        <w:numPr>
          <w:ilvl w:val="0"/>
          <w:numId w:val="39"/>
        </w:numPr>
        <w:spacing w:before="0" w:beforeAutospacing="0" w:after="0" w:afterAutospacing="0"/>
        <w:ind w:left="1710" w:firstLine="0"/>
        <w:textAlignment w:val="baseline"/>
        <w:rPr>
          <w:rFonts w:ascii="Arial" w:hAnsi="Arial" w:cs="Arial"/>
          <w:sz w:val="21"/>
          <w:szCs w:val="21"/>
        </w:rPr>
      </w:pPr>
      <w:r w:rsidRPr="007E3661">
        <w:rPr>
          <w:rStyle w:val="normaltextrun"/>
          <w:rFonts w:ascii="Arial" w:hAnsi="Arial"/>
          <w:color w:val="000000"/>
          <w:sz w:val="21"/>
          <w:szCs w:val="21"/>
        </w:rPr>
        <w:t>Руководитель проекта/специалист старшего уровня</w:t>
      </w:r>
      <w:r w:rsidRPr="007E3661">
        <w:rPr>
          <w:rStyle w:val="eop"/>
          <w:rFonts w:ascii="Arial" w:hAnsi="Arial"/>
          <w:color w:val="000000"/>
          <w:sz w:val="21"/>
          <w:szCs w:val="21"/>
        </w:rPr>
        <w:t> </w:t>
      </w:r>
    </w:p>
    <w:p w14:paraId="24D5F53F" w14:textId="77777777" w:rsidR="008630DC" w:rsidRPr="007E3661" w:rsidRDefault="008630DC" w:rsidP="008630DC">
      <w:pPr>
        <w:pStyle w:val="paragraph"/>
        <w:numPr>
          <w:ilvl w:val="0"/>
          <w:numId w:val="40"/>
        </w:numPr>
        <w:spacing w:before="0" w:beforeAutospacing="0" w:after="0" w:afterAutospacing="0"/>
        <w:ind w:left="1710" w:firstLine="0"/>
        <w:textAlignment w:val="baseline"/>
        <w:rPr>
          <w:rFonts w:ascii="Arial" w:hAnsi="Arial" w:cs="Arial"/>
          <w:sz w:val="21"/>
          <w:szCs w:val="21"/>
        </w:rPr>
      </w:pPr>
      <w:r w:rsidRPr="007E3661">
        <w:rPr>
          <w:rStyle w:val="normaltextrun"/>
          <w:rFonts w:ascii="Arial" w:hAnsi="Arial"/>
          <w:color w:val="000000"/>
          <w:sz w:val="21"/>
          <w:szCs w:val="21"/>
        </w:rPr>
        <w:t>Исследователь/аналитик среднего звена</w:t>
      </w:r>
      <w:r w:rsidRPr="007E3661">
        <w:rPr>
          <w:rStyle w:val="eop"/>
          <w:rFonts w:ascii="Arial" w:hAnsi="Arial"/>
          <w:color w:val="000000"/>
          <w:sz w:val="21"/>
          <w:szCs w:val="21"/>
        </w:rPr>
        <w:t> </w:t>
      </w:r>
    </w:p>
    <w:p w14:paraId="6430D636" w14:textId="6390E303" w:rsidR="00D335A2" w:rsidRPr="007E3661" w:rsidRDefault="00D335A2" w:rsidP="00D33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val="en-US"/>
        </w:rPr>
      </w:pPr>
    </w:p>
    <w:p w14:paraId="7BBB82AB" w14:textId="77777777" w:rsidR="008630DC" w:rsidRPr="007E3661" w:rsidRDefault="008630DC" w:rsidP="00D33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val="en-US"/>
        </w:rPr>
      </w:pPr>
    </w:p>
    <w:p w14:paraId="4096CC27" w14:textId="265D0D59" w:rsidR="00D335A2" w:rsidRPr="007E3661" w:rsidRDefault="00D335A2" w:rsidP="00F36B2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7E3661">
        <w:rPr>
          <w:rFonts w:ascii="Arial" w:hAnsi="Arial"/>
          <w:b/>
          <w:color w:val="000000"/>
          <w:sz w:val="21"/>
          <w:szCs w:val="21"/>
        </w:rPr>
        <w:t>Объем мероприятий для составления бюджета. </w:t>
      </w:r>
    </w:p>
    <w:p w14:paraId="7422DBA4" w14:textId="77777777" w:rsidR="00D335A2" w:rsidRPr="007E3661" w:rsidRDefault="00D335A2" w:rsidP="00D33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</w:rPr>
        <w:t xml:space="preserve">Поскольку Занаду — вымышленная страна, выберите одну — и только одну — из контрольных стран, перечисленных ниже, в качестве основы для вашего предложения LOE для этого пробного объема работ; разделы D и E. </w:t>
      </w:r>
      <w:r w:rsidRPr="007E3661">
        <w:rPr>
          <w:rFonts w:ascii="Arial" w:hAnsi="Arial"/>
          <w:sz w:val="21"/>
          <w:szCs w:val="21"/>
          <w:u w:val="single"/>
        </w:rPr>
        <w:t>Не допускается выбирать страну, в которой находится головной офис вашей компании.</w:t>
      </w:r>
      <w:r w:rsidRPr="007E3661">
        <w:rPr>
          <w:rFonts w:ascii="Arial" w:hAnsi="Arial"/>
          <w:sz w:val="21"/>
          <w:szCs w:val="21"/>
        </w:rPr>
        <w:t xml:space="preserve"> Выбор страны не означает, что вы ведете или можете вести деятельность в этой стране.  </w:t>
      </w:r>
    </w:p>
    <w:p w14:paraId="78511CDC" w14:textId="77777777" w:rsidR="00D335A2" w:rsidRPr="007E3661" w:rsidRDefault="00D335A2" w:rsidP="00D335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</w:rPr>
        <w:t> </w:t>
      </w:r>
    </w:p>
    <w:tbl>
      <w:tblPr>
        <w:tblW w:w="0" w:type="dxa"/>
        <w:tblInd w:w="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</w:tblGrid>
      <w:tr w:rsidR="00D335A2" w:rsidRPr="007E3661" w14:paraId="07B3D69F" w14:textId="77777777" w:rsidTr="00D335A2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D0E8B" w14:textId="77777777" w:rsidR="00D335A2" w:rsidRPr="007E3661" w:rsidRDefault="00D335A2" w:rsidP="00D335A2">
            <w:pPr>
              <w:spacing w:after="0" w:line="240" w:lineRule="auto"/>
              <w:jc w:val="both"/>
              <w:textAlignment w:val="baseline"/>
              <w:divId w:val="628046606"/>
              <w:rPr>
                <w:rFonts w:ascii="Arial" w:eastAsia="Times New Roman" w:hAnsi="Arial" w:cs="Arial"/>
                <w:sz w:val="21"/>
                <w:szCs w:val="21"/>
              </w:rPr>
            </w:pPr>
            <w:r w:rsidRPr="007E3661">
              <w:rPr>
                <w:rFonts w:ascii="Arial" w:hAnsi="Arial"/>
                <w:sz w:val="21"/>
                <w:szCs w:val="21"/>
              </w:rPr>
              <w:t>Эталонные страны (выберите только одну) </w:t>
            </w:r>
          </w:p>
        </w:tc>
      </w:tr>
      <w:tr w:rsidR="00D335A2" w:rsidRPr="007E3661" w14:paraId="5F341FB8" w14:textId="77777777" w:rsidTr="00D335A2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D495C" w14:textId="77777777" w:rsidR="00D335A2" w:rsidRPr="007E3661" w:rsidRDefault="00D335A2" w:rsidP="00D335A2">
            <w:pPr>
              <w:numPr>
                <w:ilvl w:val="0"/>
                <w:numId w:val="22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7E3661">
              <w:rPr>
                <w:rFonts w:ascii="Arial" w:hAnsi="Arial"/>
                <w:sz w:val="21"/>
                <w:szCs w:val="21"/>
              </w:rPr>
              <w:t>Гватемала  </w:t>
            </w:r>
          </w:p>
        </w:tc>
      </w:tr>
      <w:tr w:rsidR="00D335A2" w:rsidRPr="007E3661" w14:paraId="552378F1" w14:textId="77777777" w:rsidTr="00D335A2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1B2C1" w14:textId="77777777" w:rsidR="00D335A2" w:rsidRPr="007E3661" w:rsidRDefault="00D335A2" w:rsidP="00D335A2">
            <w:pPr>
              <w:numPr>
                <w:ilvl w:val="0"/>
                <w:numId w:val="23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7E3661">
              <w:rPr>
                <w:rFonts w:ascii="Arial" w:hAnsi="Arial"/>
                <w:sz w:val="21"/>
                <w:szCs w:val="21"/>
              </w:rPr>
              <w:t>Колумбия </w:t>
            </w:r>
          </w:p>
        </w:tc>
      </w:tr>
      <w:tr w:rsidR="00D335A2" w:rsidRPr="007E3661" w14:paraId="545F1A34" w14:textId="77777777" w:rsidTr="00D335A2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3A5DE" w14:textId="77777777" w:rsidR="00D335A2" w:rsidRPr="007E3661" w:rsidRDefault="00D335A2" w:rsidP="00D335A2">
            <w:pPr>
              <w:numPr>
                <w:ilvl w:val="0"/>
                <w:numId w:val="24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7E3661">
              <w:rPr>
                <w:rFonts w:ascii="Arial" w:hAnsi="Arial"/>
                <w:sz w:val="21"/>
                <w:szCs w:val="21"/>
              </w:rPr>
              <w:t>Буркина-Фасо </w:t>
            </w:r>
          </w:p>
        </w:tc>
      </w:tr>
      <w:tr w:rsidR="00D335A2" w:rsidRPr="007E3661" w14:paraId="5B7F2562" w14:textId="77777777" w:rsidTr="00D335A2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D0D96" w14:textId="77777777" w:rsidR="00D335A2" w:rsidRPr="007E3661" w:rsidRDefault="00D335A2" w:rsidP="00D335A2">
            <w:pPr>
              <w:numPr>
                <w:ilvl w:val="0"/>
                <w:numId w:val="25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7E3661">
              <w:rPr>
                <w:rFonts w:ascii="Arial" w:hAnsi="Arial"/>
                <w:sz w:val="21"/>
                <w:szCs w:val="21"/>
              </w:rPr>
              <w:t>Сенегал </w:t>
            </w:r>
          </w:p>
        </w:tc>
      </w:tr>
      <w:tr w:rsidR="00D335A2" w:rsidRPr="007E3661" w14:paraId="5B238C83" w14:textId="77777777" w:rsidTr="00D335A2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9FE0A" w14:textId="77777777" w:rsidR="00D335A2" w:rsidRPr="007E3661" w:rsidRDefault="00D335A2" w:rsidP="00D335A2">
            <w:pPr>
              <w:numPr>
                <w:ilvl w:val="0"/>
                <w:numId w:val="26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7E3661">
              <w:rPr>
                <w:rFonts w:ascii="Arial" w:hAnsi="Arial"/>
                <w:sz w:val="21"/>
                <w:szCs w:val="21"/>
              </w:rPr>
              <w:t>Уганда </w:t>
            </w:r>
          </w:p>
        </w:tc>
      </w:tr>
      <w:tr w:rsidR="00D335A2" w:rsidRPr="007E3661" w14:paraId="0E39718B" w14:textId="77777777" w:rsidTr="00D335A2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27758" w14:textId="77777777" w:rsidR="00D335A2" w:rsidRPr="007E3661" w:rsidRDefault="00D335A2" w:rsidP="00D335A2">
            <w:pPr>
              <w:numPr>
                <w:ilvl w:val="0"/>
                <w:numId w:val="27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7E3661">
              <w:rPr>
                <w:rFonts w:ascii="Arial" w:hAnsi="Arial"/>
                <w:sz w:val="21"/>
                <w:szCs w:val="21"/>
              </w:rPr>
              <w:t>Эфиопия </w:t>
            </w:r>
          </w:p>
        </w:tc>
      </w:tr>
      <w:tr w:rsidR="00D335A2" w:rsidRPr="007E3661" w14:paraId="543E5720" w14:textId="77777777" w:rsidTr="00D335A2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59DAA" w14:textId="77777777" w:rsidR="00D335A2" w:rsidRPr="007E3661" w:rsidRDefault="00D335A2" w:rsidP="00D335A2">
            <w:pPr>
              <w:numPr>
                <w:ilvl w:val="0"/>
                <w:numId w:val="28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7E3661">
              <w:rPr>
                <w:rFonts w:ascii="Arial" w:hAnsi="Arial"/>
                <w:sz w:val="21"/>
                <w:szCs w:val="21"/>
              </w:rPr>
              <w:t>Ирак </w:t>
            </w:r>
          </w:p>
        </w:tc>
      </w:tr>
      <w:tr w:rsidR="00D335A2" w:rsidRPr="007E3661" w14:paraId="263B03FC" w14:textId="77777777" w:rsidTr="00D335A2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154B1" w14:textId="77777777" w:rsidR="00D335A2" w:rsidRPr="007E3661" w:rsidRDefault="00D335A2" w:rsidP="00D335A2">
            <w:pPr>
              <w:numPr>
                <w:ilvl w:val="0"/>
                <w:numId w:val="29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7E3661">
              <w:rPr>
                <w:rFonts w:ascii="Arial" w:hAnsi="Arial"/>
                <w:sz w:val="21"/>
                <w:szCs w:val="21"/>
              </w:rPr>
              <w:t>Афганистан  </w:t>
            </w:r>
          </w:p>
        </w:tc>
      </w:tr>
      <w:tr w:rsidR="00D335A2" w:rsidRPr="007E3661" w14:paraId="52420CAC" w14:textId="77777777" w:rsidTr="00D335A2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4B3C9" w14:textId="77777777" w:rsidR="00D335A2" w:rsidRPr="007E3661" w:rsidRDefault="00D335A2" w:rsidP="00D335A2">
            <w:pPr>
              <w:numPr>
                <w:ilvl w:val="0"/>
                <w:numId w:val="30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7E3661">
              <w:rPr>
                <w:rFonts w:ascii="Arial" w:hAnsi="Arial"/>
                <w:sz w:val="21"/>
                <w:szCs w:val="21"/>
              </w:rPr>
              <w:t>Непал </w:t>
            </w:r>
          </w:p>
        </w:tc>
      </w:tr>
      <w:tr w:rsidR="00D335A2" w:rsidRPr="007E3661" w14:paraId="7FB897E8" w14:textId="77777777" w:rsidTr="00D335A2">
        <w:trPr>
          <w:trHeight w:val="3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CF67B" w14:textId="77777777" w:rsidR="00D335A2" w:rsidRPr="007E3661" w:rsidRDefault="00D335A2" w:rsidP="00D335A2">
            <w:pPr>
              <w:numPr>
                <w:ilvl w:val="0"/>
                <w:numId w:val="3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7E3661">
              <w:rPr>
                <w:rFonts w:ascii="Arial" w:hAnsi="Arial"/>
                <w:sz w:val="21"/>
                <w:szCs w:val="21"/>
              </w:rPr>
              <w:t>Индонезия </w:t>
            </w:r>
          </w:p>
        </w:tc>
      </w:tr>
    </w:tbl>
    <w:p w14:paraId="67A8AD91" w14:textId="77777777" w:rsidR="00D335A2" w:rsidRPr="007E3661" w:rsidRDefault="00D335A2" w:rsidP="00D335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</w:rPr>
        <w:t> </w:t>
      </w:r>
    </w:p>
    <w:p w14:paraId="36968909" w14:textId="2AD41193" w:rsidR="00D335A2" w:rsidRPr="007E3661" w:rsidRDefault="00D335A2" w:rsidP="00D335A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7E3661">
        <w:rPr>
          <w:rFonts w:ascii="Arial" w:hAnsi="Arial"/>
          <w:sz w:val="21"/>
          <w:szCs w:val="21"/>
        </w:rPr>
        <w:t> </w:t>
      </w:r>
    </w:p>
    <w:p w14:paraId="6AA19D7B" w14:textId="57713DC0" w:rsidR="00BB0030" w:rsidRPr="007E3661" w:rsidRDefault="006D4BC7" w:rsidP="00F36B2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7E3661">
        <w:rPr>
          <w:rFonts w:ascii="Arial" w:hAnsi="Arial"/>
          <w:b/>
          <w:color w:val="000000"/>
          <w:sz w:val="21"/>
          <w:szCs w:val="21"/>
        </w:rPr>
        <w:t>Временные рамки</w:t>
      </w:r>
    </w:p>
    <w:p w14:paraId="0D924628" w14:textId="4E381EF7" w:rsidR="00275BEC" w:rsidRPr="007E3661" w:rsidRDefault="00275BEC" w:rsidP="00275BEC">
      <w:pPr>
        <w:pStyle w:val="Prrafodelista"/>
        <w:jc w:val="both"/>
        <w:rPr>
          <w:rFonts w:ascii="Arial" w:hAnsi="Arial" w:cs="Arial"/>
          <w:bCs/>
          <w:sz w:val="21"/>
          <w:szCs w:val="21"/>
        </w:rPr>
      </w:pPr>
      <w:r w:rsidRPr="007E3661">
        <w:rPr>
          <w:rFonts w:ascii="Arial" w:hAnsi="Arial"/>
          <w:sz w:val="21"/>
          <w:szCs w:val="21"/>
        </w:rPr>
        <w:t xml:space="preserve">Фирма должна предложить общий график завершения этой оценки и представления окончательного отчета не позднее 31марта 2024 г.  Предлагаемый график должен соответствовать ресурсам, выделенным в технических разделах и разделах LOE предложений. </w:t>
      </w:r>
    </w:p>
    <w:p w14:paraId="1A3A3FE7" w14:textId="2499C33B" w:rsidR="00675B71" w:rsidRPr="007E3661" w:rsidRDefault="00675B71">
      <w:pPr>
        <w:rPr>
          <w:rFonts w:ascii="Arial" w:hAnsi="Arial" w:cs="Arial"/>
          <w:sz w:val="21"/>
          <w:szCs w:val="21"/>
          <w:highlight w:val="white"/>
        </w:rPr>
      </w:pPr>
    </w:p>
    <w:p w14:paraId="4537D406" w14:textId="57007308" w:rsidR="00BB0030" w:rsidRPr="007E3661" w:rsidRDefault="00D13EDF" w:rsidP="00F36B2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7E3661">
        <w:rPr>
          <w:rFonts w:ascii="Arial" w:hAnsi="Arial"/>
          <w:b/>
          <w:color w:val="000000"/>
          <w:sz w:val="21"/>
          <w:szCs w:val="21"/>
        </w:rPr>
        <w:t>Структура итогового отчета</w:t>
      </w:r>
    </w:p>
    <w:p w14:paraId="368BBDEC" w14:textId="77777777" w:rsidR="00D13EDF" w:rsidRPr="007E3661" w:rsidRDefault="00D13EDF" w:rsidP="00D13EDF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 xml:space="preserve">Титульная страница; введение </w:t>
      </w:r>
    </w:p>
    <w:p w14:paraId="2A01C72D" w14:textId="77777777" w:rsidR="00D13EDF" w:rsidRPr="007E3661" w:rsidRDefault="00D13EDF" w:rsidP="00D13EDF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>Пояснительная записка</w:t>
      </w:r>
    </w:p>
    <w:p w14:paraId="2142C4EB" w14:textId="77777777" w:rsidR="00D13EDF" w:rsidRPr="007E3661" w:rsidRDefault="00D13EDF" w:rsidP="00D13EDF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>Предыстория/понимание контекста (география, экономика, окружающая среда, загрязнение, климат, демография, безопасность, природа и состояние правовых, политических и экономических систем)</w:t>
      </w:r>
    </w:p>
    <w:p w14:paraId="19892E5C" w14:textId="68C5FB09" w:rsidR="00D13EDF" w:rsidRPr="007E3661" w:rsidRDefault="00420BA4" w:rsidP="00D13EDF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 xml:space="preserve">Объем политэкономического анализа </w:t>
      </w:r>
    </w:p>
    <w:p w14:paraId="3EC441BC" w14:textId="77777777" w:rsidR="00D13EDF" w:rsidRPr="007E3661" w:rsidRDefault="00D13EDF" w:rsidP="00D13EDF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 xml:space="preserve">Цель </w:t>
      </w:r>
    </w:p>
    <w:p w14:paraId="0A1A99A0" w14:textId="0E3A0B9A" w:rsidR="00D13EDF" w:rsidRPr="007E3661" w:rsidRDefault="00D13EDF" w:rsidP="00D13EDF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 xml:space="preserve">Вопросы – охватывающие области, барьеры и возможности </w:t>
      </w:r>
    </w:p>
    <w:p w14:paraId="398437D0" w14:textId="77777777" w:rsidR="00D13EDF" w:rsidRPr="007E3661" w:rsidRDefault="00D13EDF" w:rsidP="00D13EDF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 xml:space="preserve">Методология и процесс </w:t>
      </w:r>
    </w:p>
    <w:p w14:paraId="205DF23E" w14:textId="77777777" w:rsidR="00D13EDF" w:rsidRPr="007E3661" w:rsidRDefault="00D13EDF" w:rsidP="00D13EDF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 xml:space="preserve">Проектирование исследования (респонденты, инструменты и методы сбора данных, сроки, команда) </w:t>
      </w:r>
    </w:p>
    <w:p w14:paraId="4F22F988" w14:textId="6E213057" w:rsidR="00D13EDF" w:rsidRPr="007E3661" w:rsidRDefault="00D13EDF" w:rsidP="00D13EDF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 xml:space="preserve">Результаты – охват областей, барьеров и возможностей </w:t>
      </w:r>
    </w:p>
    <w:p w14:paraId="46E9DD1B" w14:textId="7E91E15D" w:rsidR="00D13EDF" w:rsidRPr="007E3661" w:rsidRDefault="00D13EDF" w:rsidP="00D13EDF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7E3661">
        <w:rPr>
          <w:rFonts w:ascii="Arial" w:hAnsi="Arial"/>
          <w:color w:val="000000"/>
          <w:sz w:val="21"/>
          <w:szCs w:val="21"/>
        </w:rPr>
        <w:t xml:space="preserve">Рекомендации </w:t>
      </w:r>
    </w:p>
    <w:sectPr w:rsidR="00D13EDF" w:rsidRPr="007E366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87D"/>
    <w:multiLevelType w:val="multilevel"/>
    <w:tmpl w:val="9D52D2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EF7AC0"/>
    <w:multiLevelType w:val="multilevel"/>
    <w:tmpl w:val="B30ED52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02FA5D2A"/>
    <w:multiLevelType w:val="multilevel"/>
    <w:tmpl w:val="A8DA2C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4475005"/>
    <w:multiLevelType w:val="multilevel"/>
    <w:tmpl w:val="433E1FC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76C6DB0"/>
    <w:multiLevelType w:val="multilevel"/>
    <w:tmpl w:val="AF6413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692F6B"/>
    <w:multiLevelType w:val="multilevel"/>
    <w:tmpl w:val="9F9C9C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723048"/>
    <w:multiLevelType w:val="multilevel"/>
    <w:tmpl w:val="EA3481B4"/>
    <w:lvl w:ilvl="0">
      <w:start w:val="1"/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abstractNum w:abstractNumId="7" w15:restartNumberingAfterBreak="0">
    <w:nsid w:val="14621E5E"/>
    <w:multiLevelType w:val="multilevel"/>
    <w:tmpl w:val="522E01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E358D2"/>
    <w:multiLevelType w:val="multilevel"/>
    <w:tmpl w:val="7F10E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6217B6"/>
    <w:multiLevelType w:val="multilevel"/>
    <w:tmpl w:val="AF980F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AAB5B5E"/>
    <w:multiLevelType w:val="multilevel"/>
    <w:tmpl w:val="E716B49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1" w15:restartNumberingAfterBreak="0">
    <w:nsid w:val="1E4A2F13"/>
    <w:multiLevelType w:val="multilevel"/>
    <w:tmpl w:val="71FEA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F1D410B"/>
    <w:multiLevelType w:val="multilevel"/>
    <w:tmpl w:val="2168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0E4906"/>
    <w:multiLevelType w:val="multilevel"/>
    <w:tmpl w:val="433E1FC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26095435"/>
    <w:multiLevelType w:val="multilevel"/>
    <w:tmpl w:val="7F2ACCE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5" w15:restartNumberingAfterBreak="0">
    <w:nsid w:val="2C3A7B67"/>
    <w:multiLevelType w:val="multilevel"/>
    <w:tmpl w:val="C5C226E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6" w15:restartNumberingAfterBreak="0">
    <w:nsid w:val="2C4F07AC"/>
    <w:multiLevelType w:val="multilevel"/>
    <w:tmpl w:val="2A601A9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7" w15:restartNumberingAfterBreak="0">
    <w:nsid w:val="2CD46E8E"/>
    <w:multiLevelType w:val="multilevel"/>
    <w:tmpl w:val="3C366E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0991B8F"/>
    <w:multiLevelType w:val="multilevel"/>
    <w:tmpl w:val="061E0D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3A34012"/>
    <w:multiLevelType w:val="hybridMultilevel"/>
    <w:tmpl w:val="6810B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E238E"/>
    <w:multiLevelType w:val="multilevel"/>
    <w:tmpl w:val="5C582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962ECC"/>
    <w:multiLevelType w:val="multilevel"/>
    <w:tmpl w:val="433E1FC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C5F5641"/>
    <w:multiLevelType w:val="multilevel"/>
    <w:tmpl w:val="63948C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6742D7"/>
    <w:multiLevelType w:val="multilevel"/>
    <w:tmpl w:val="F168C9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B245E62"/>
    <w:multiLevelType w:val="multilevel"/>
    <w:tmpl w:val="6628A7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F0004DE"/>
    <w:multiLevelType w:val="multilevel"/>
    <w:tmpl w:val="C6EAB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2220F"/>
    <w:multiLevelType w:val="multilevel"/>
    <w:tmpl w:val="B9CA1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686ABB"/>
    <w:multiLevelType w:val="multilevel"/>
    <w:tmpl w:val="8706568A"/>
    <w:lvl w:ilvl="0">
      <w:start w:val="1"/>
      <w:numFmt w:val="upperRoman"/>
      <w:lvlText w:val="%1."/>
      <w:lvlJc w:val="left"/>
      <w:pPr>
        <w:ind w:left="718" w:hanging="72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8" w15:restartNumberingAfterBreak="0">
    <w:nsid w:val="58E64680"/>
    <w:multiLevelType w:val="multilevel"/>
    <w:tmpl w:val="A204F8A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9" w15:restartNumberingAfterBreak="0">
    <w:nsid w:val="5F771520"/>
    <w:multiLevelType w:val="hybridMultilevel"/>
    <w:tmpl w:val="24C64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C20431"/>
    <w:multiLevelType w:val="multilevel"/>
    <w:tmpl w:val="FA74C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2953FE"/>
    <w:multiLevelType w:val="multilevel"/>
    <w:tmpl w:val="DCD461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7F02730"/>
    <w:multiLevelType w:val="multilevel"/>
    <w:tmpl w:val="2788E9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DA344B7"/>
    <w:multiLevelType w:val="multilevel"/>
    <w:tmpl w:val="E4B23C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723D5269"/>
    <w:multiLevelType w:val="multilevel"/>
    <w:tmpl w:val="77509C3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5" w15:restartNumberingAfterBreak="0">
    <w:nsid w:val="74077908"/>
    <w:multiLevelType w:val="multilevel"/>
    <w:tmpl w:val="DF9605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1E494E"/>
    <w:multiLevelType w:val="multilevel"/>
    <w:tmpl w:val="108C1A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62663D5"/>
    <w:multiLevelType w:val="multilevel"/>
    <w:tmpl w:val="60340E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0B46E2"/>
    <w:multiLevelType w:val="multilevel"/>
    <w:tmpl w:val="195422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C87269C"/>
    <w:multiLevelType w:val="multilevel"/>
    <w:tmpl w:val="BE7ADF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8590336">
    <w:abstractNumId w:val="17"/>
  </w:num>
  <w:num w:numId="2" w16cid:durableId="1600486138">
    <w:abstractNumId w:val="1"/>
  </w:num>
  <w:num w:numId="3" w16cid:durableId="1383138110">
    <w:abstractNumId w:val="10"/>
  </w:num>
  <w:num w:numId="4" w16cid:durableId="1353149615">
    <w:abstractNumId w:val="38"/>
  </w:num>
  <w:num w:numId="5" w16cid:durableId="1161461168">
    <w:abstractNumId w:val="6"/>
  </w:num>
  <w:num w:numId="6" w16cid:durableId="178736820">
    <w:abstractNumId w:val="14"/>
  </w:num>
  <w:num w:numId="7" w16cid:durableId="821235152">
    <w:abstractNumId w:val="32"/>
  </w:num>
  <w:num w:numId="8" w16cid:durableId="1059740812">
    <w:abstractNumId w:val="27"/>
  </w:num>
  <w:num w:numId="9" w16cid:durableId="1368137440">
    <w:abstractNumId w:val="31"/>
  </w:num>
  <w:num w:numId="10" w16cid:durableId="538320139">
    <w:abstractNumId w:val="11"/>
  </w:num>
  <w:num w:numId="11" w16cid:durableId="286084076">
    <w:abstractNumId w:val="2"/>
  </w:num>
  <w:num w:numId="12" w16cid:durableId="667447473">
    <w:abstractNumId w:val="18"/>
  </w:num>
  <w:num w:numId="13" w16cid:durableId="1032850896">
    <w:abstractNumId w:val="34"/>
  </w:num>
  <w:num w:numId="14" w16cid:durableId="1000499946">
    <w:abstractNumId w:val="16"/>
  </w:num>
  <w:num w:numId="15" w16cid:durableId="1778987551">
    <w:abstractNumId w:val="33"/>
  </w:num>
  <w:num w:numId="16" w16cid:durableId="451366656">
    <w:abstractNumId w:val="15"/>
  </w:num>
  <w:num w:numId="17" w16cid:durableId="365764785">
    <w:abstractNumId w:val="28"/>
  </w:num>
  <w:num w:numId="18" w16cid:durableId="1762751395">
    <w:abstractNumId w:val="3"/>
  </w:num>
  <w:num w:numId="19" w16cid:durableId="908227929">
    <w:abstractNumId w:val="0"/>
  </w:num>
  <w:num w:numId="20" w16cid:durableId="754593959">
    <w:abstractNumId w:val="9"/>
  </w:num>
  <w:num w:numId="21" w16cid:durableId="1942715735">
    <w:abstractNumId w:val="21"/>
  </w:num>
  <w:num w:numId="22" w16cid:durableId="1275283078">
    <w:abstractNumId w:val="12"/>
  </w:num>
  <w:num w:numId="23" w16cid:durableId="833958268">
    <w:abstractNumId w:val="25"/>
  </w:num>
  <w:num w:numId="24" w16cid:durableId="708576715">
    <w:abstractNumId w:val="26"/>
  </w:num>
  <w:num w:numId="25" w16cid:durableId="1281106366">
    <w:abstractNumId w:val="30"/>
  </w:num>
  <w:num w:numId="26" w16cid:durableId="1347443182">
    <w:abstractNumId w:val="7"/>
  </w:num>
  <w:num w:numId="27" w16cid:durableId="1729183857">
    <w:abstractNumId w:val="35"/>
  </w:num>
  <w:num w:numId="28" w16cid:durableId="145515695">
    <w:abstractNumId w:val="39"/>
  </w:num>
  <w:num w:numId="29" w16cid:durableId="893664273">
    <w:abstractNumId w:val="22"/>
  </w:num>
  <w:num w:numId="30" w16cid:durableId="1783257307">
    <w:abstractNumId w:val="37"/>
  </w:num>
  <w:num w:numId="31" w16cid:durableId="147140185">
    <w:abstractNumId w:val="5"/>
  </w:num>
  <w:num w:numId="32" w16cid:durableId="430471245">
    <w:abstractNumId w:val="29"/>
  </w:num>
  <w:num w:numId="33" w16cid:durableId="2007435644">
    <w:abstractNumId w:val="19"/>
  </w:num>
  <w:num w:numId="34" w16cid:durableId="1253778194">
    <w:abstractNumId w:val="13"/>
  </w:num>
  <w:num w:numId="35" w16cid:durableId="1349677040">
    <w:abstractNumId w:val="4"/>
  </w:num>
  <w:num w:numId="36" w16cid:durableId="592861257">
    <w:abstractNumId w:val="36"/>
  </w:num>
  <w:num w:numId="37" w16cid:durableId="129249245">
    <w:abstractNumId w:val="24"/>
  </w:num>
  <w:num w:numId="38" w16cid:durableId="908344366">
    <w:abstractNumId w:val="23"/>
  </w:num>
  <w:num w:numId="39" w16cid:durableId="1986930872">
    <w:abstractNumId w:val="20"/>
  </w:num>
  <w:num w:numId="40" w16cid:durableId="1727489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30"/>
    <w:rsid w:val="00027059"/>
    <w:rsid w:val="0003622C"/>
    <w:rsid w:val="00064B31"/>
    <w:rsid w:val="000660BD"/>
    <w:rsid w:val="0008399C"/>
    <w:rsid w:val="00124831"/>
    <w:rsid w:val="00145737"/>
    <w:rsid w:val="00175F92"/>
    <w:rsid w:val="001971A6"/>
    <w:rsid w:val="001F69F2"/>
    <w:rsid w:val="0025477D"/>
    <w:rsid w:val="00275BEC"/>
    <w:rsid w:val="002B6D44"/>
    <w:rsid w:val="002C7815"/>
    <w:rsid w:val="002E0BBB"/>
    <w:rsid w:val="00343286"/>
    <w:rsid w:val="003D3078"/>
    <w:rsid w:val="00420BA4"/>
    <w:rsid w:val="00471693"/>
    <w:rsid w:val="00484FAA"/>
    <w:rsid w:val="0059391A"/>
    <w:rsid w:val="005B0A1F"/>
    <w:rsid w:val="0060612B"/>
    <w:rsid w:val="00612A99"/>
    <w:rsid w:val="006454BC"/>
    <w:rsid w:val="00675B71"/>
    <w:rsid w:val="006D4BC7"/>
    <w:rsid w:val="0072267E"/>
    <w:rsid w:val="007A1CC0"/>
    <w:rsid w:val="007A6973"/>
    <w:rsid w:val="007E3661"/>
    <w:rsid w:val="008630DC"/>
    <w:rsid w:val="008678A9"/>
    <w:rsid w:val="009646F3"/>
    <w:rsid w:val="009C0770"/>
    <w:rsid w:val="009C571D"/>
    <w:rsid w:val="00B23049"/>
    <w:rsid w:val="00BB0030"/>
    <w:rsid w:val="00C05BF4"/>
    <w:rsid w:val="00CC04B1"/>
    <w:rsid w:val="00CF7F8E"/>
    <w:rsid w:val="00D13EDF"/>
    <w:rsid w:val="00D335A2"/>
    <w:rsid w:val="00D57238"/>
    <w:rsid w:val="00E12138"/>
    <w:rsid w:val="00E32B3A"/>
    <w:rsid w:val="00EF1E50"/>
    <w:rsid w:val="00F3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3AAC"/>
  <w15:docId w15:val="{1704F53F-793D-4A39-8A40-264B8FF3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9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A93247"/>
  </w:style>
  <w:style w:type="paragraph" w:styleId="Prrafodelista">
    <w:name w:val="List Paragraph"/>
    <w:basedOn w:val="Normal"/>
    <w:uiPriority w:val="34"/>
    <w:qFormat/>
    <w:rsid w:val="009F72B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A64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F51A5"/>
    <w:rPr>
      <w:color w:val="0000FF"/>
      <w:u w:val="single"/>
    </w:r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Normal"/>
    <w:rsid w:val="0014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145737"/>
  </w:style>
  <w:style w:type="character" w:customStyle="1" w:styleId="eop">
    <w:name w:val="eop"/>
    <w:basedOn w:val="Fuentedeprrafopredeter"/>
    <w:rsid w:val="00145737"/>
  </w:style>
  <w:style w:type="character" w:styleId="Refdecomentario">
    <w:name w:val="annotation reference"/>
    <w:basedOn w:val="Fuentedeprrafopredeter"/>
    <w:uiPriority w:val="99"/>
    <w:semiHidden/>
    <w:unhideWhenUsed/>
    <w:rsid w:val="005939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39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391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39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391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3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91A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061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6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1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3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3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7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4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 xmlns="4e0316ce-b060-4817-b5f5-6985416301e8" xsi:nil="true"/>
    <TaxCatchAll xmlns="3d2dd2c6-932b-4822-9dbd-d0669e617e0f" xsi:nil="true"/>
    <lcf76f155ced4ddcb4097134ff3c332f xmlns="4e0316ce-b060-4817-b5f5-6985416301e8">
      <Terms xmlns="http://schemas.microsoft.com/office/infopath/2007/PartnerControls"/>
    </lcf76f155ced4ddcb4097134ff3c332f>
    <Indicator_x0023_ xmlns="4e0316ce-b060-4817-b5f5-6985416301e8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uEpvCvyvxzcHQRQK4DqgZHCWjw==">CgMxLjA4AHIhMUltTWZ5V1B0RldZeVMyQ3VTZnJaT2ZkZWxNWG5vUE50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39BD1588B074F94C31E3D50DCF215" ma:contentTypeVersion="16" ma:contentTypeDescription="Create a new document." ma:contentTypeScope="" ma:versionID="7d63bfe12986f5c81744447bc76df29d">
  <xsd:schema xmlns:xsd="http://www.w3.org/2001/XMLSchema" xmlns:xs="http://www.w3.org/2001/XMLSchema" xmlns:p="http://schemas.microsoft.com/office/2006/metadata/properties" xmlns:ns2="4e0316ce-b060-4817-b5f5-6985416301e8" xmlns:ns3="3d2dd2c6-932b-4822-9dbd-d0669e617e0f" targetNamespace="http://schemas.microsoft.com/office/2006/metadata/properties" ma:root="true" ma:fieldsID="eb8491faf845944e342a89b25806860f" ns2:_="" ns3:_="">
    <xsd:import namespace="4e0316ce-b060-4817-b5f5-6985416301e8"/>
    <xsd:import namespace="3d2dd2c6-932b-4822-9dbd-d0669e617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ame" minOccurs="0"/>
                <xsd:element ref="ns2:MediaServiceObjectDetectorVersions" minOccurs="0"/>
                <xsd:element ref="ns2:Indicator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316ce-b060-4817-b5f5-698541630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ame" ma:index="21" nillable="true" ma:displayName="name " ma:description="description " ma:format="Dropdown" ma:internalName="name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ndicator_x0023_" ma:index="23" nillable="true" ma:displayName="Indicator #" ma:format="Dropdown" ma:internalName="Indicator_x0023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d2c6-932b-4822-9dbd-d0669e617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fdacb1-eb0e-4de5-b9a0-28a7d25dd21d}" ma:internalName="TaxCatchAll" ma:showField="CatchAllData" ma:web="3d2dd2c6-932b-4822-9dbd-d0669e617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57C71-2A68-4D1C-9954-183F04039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D49DA-25F3-4E29-8B00-A6C9FF2423E6}">
  <ds:schemaRefs>
    <ds:schemaRef ds:uri="http://schemas.microsoft.com/office/2006/metadata/properties"/>
    <ds:schemaRef ds:uri="http://schemas.microsoft.com/office/infopath/2007/PartnerControls"/>
    <ds:schemaRef ds:uri="4e0316ce-b060-4817-b5f5-6985416301e8"/>
    <ds:schemaRef ds:uri="3d2dd2c6-932b-4822-9dbd-d0669e617e0f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5DF17EE-3D0A-4350-8F03-1294D3D82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2332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Seblewengel Belete</dc:creator>
  <cp:lastModifiedBy>Erick Cortes</cp:lastModifiedBy>
  <cp:revision>29</cp:revision>
  <dcterms:created xsi:type="dcterms:W3CDTF">2023-10-13T01:12:00Z</dcterms:created>
  <dcterms:modified xsi:type="dcterms:W3CDTF">2023-10-24T20:40:00Z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0x010100EA539BD1588B074F94C31E3D50DCF215</vt:lpwstr>
  </property>
  <property fmtid="{D5CDD505-2E9C-101B-9397-08002B2CF9AE}" pid="3" name="MediaServiceImageTags">
    <vt:lpwstr/>
  </property>
</Properties>
</file>