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8CF8" w14:textId="6E8DD472" w:rsidR="00BB0030" w:rsidRPr="0072267E" w:rsidRDefault="00C36226" w:rsidP="001278B3">
      <w:pPr>
        <w:pStyle w:val="Title"/>
        <w:spacing w:line="240" w:lineRule="auto"/>
        <w:ind w:hanging="2"/>
        <w:jc w:val="center"/>
        <w:rPr>
          <w:rFonts w:ascii="Arial" w:eastAsia="Garamond" w:hAnsi="Arial" w:cs="Arial"/>
          <w:color w:val="000000"/>
          <w:sz w:val="28"/>
          <w:szCs w:val="28"/>
        </w:rPr>
      </w:pPr>
      <w:r>
        <w:rPr>
          <w:rFonts w:ascii="Arial" w:hAnsi="Arial"/>
          <w:noProof/>
        </w:rPr>
        <w:drawing>
          <wp:anchor distT="0" distB="0" distL="114300" distR="114300" simplePos="0" relativeHeight="251658240" behindDoc="0" locked="0" layoutInCell="1" allowOverlap="1" wp14:anchorId="7EA129F3" wp14:editId="67C474E9">
            <wp:simplePos x="0" y="0"/>
            <wp:positionH relativeFrom="margin">
              <wp:align>center</wp:align>
            </wp:positionH>
            <wp:positionV relativeFrom="paragraph">
              <wp:posOffset>95250</wp:posOffset>
            </wp:positionV>
            <wp:extent cx="1390650" cy="481013"/>
            <wp:effectExtent l="0" t="0" r="0" b="0"/>
            <wp:wrapThrough wrapText="bothSides">
              <wp:wrapPolygon edited="0">
                <wp:start x="0" y="0"/>
                <wp:lineTo x="0" y="20544"/>
                <wp:lineTo x="21304" y="20544"/>
                <wp:lineTo x="21304" y="0"/>
                <wp:lineTo x="0" y="0"/>
              </wp:wrapPolygon>
            </wp:wrapThrough>
            <wp:docPr id="1028"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481013"/>
                    </a:xfrm>
                    <a:prstGeom prst="rect">
                      <a:avLst/>
                    </a:prstGeom>
                    <a:ln/>
                  </pic:spPr>
                </pic:pic>
              </a:graphicData>
            </a:graphic>
          </wp:anchor>
        </w:drawing>
      </w:r>
      <w:r w:rsidR="001278B3">
        <w:rPr>
          <w:rFonts w:ascii="Arial" w:eastAsia="Garamond" w:hAnsi="Arial" w:cs="Arial"/>
          <w:color w:val="000000"/>
          <w:sz w:val="28"/>
          <w:szCs w:val="28"/>
        </w:rPr>
        <w:br/>
      </w:r>
      <w:r w:rsidR="001278B3">
        <w:rPr>
          <w:rFonts w:ascii="Arial" w:eastAsia="Garamond" w:hAnsi="Arial" w:cs="Arial"/>
          <w:color w:val="000000"/>
          <w:sz w:val="28"/>
          <w:szCs w:val="28"/>
        </w:rPr>
        <w:br/>
      </w:r>
    </w:p>
    <w:p w14:paraId="64D8FC44" w14:textId="177AB226" w:rsidR="00343286" w:rsidRPr="0072267E" w:rsidRDefault="00343286" w:rsidP="001278B3">
      <w:pPr>
        <w:tabs>
          <w:tab w:val="center" w:pos="4320"/>
          <w:tab w:val="right" w:pos="8640"/>
        </w:tabs>
        <w:spacing w:after="0" w:line="240" w:lineRule="auto"/>
        <w:ind w:left="1" w:hanging="3"/>
        <w:jc w:val="center"/>
        <w:rPr>
          <w:rFonts w:ascii="Arial" w:eastAsia="Garamond" w:hAnsi="Arial" w:cs="Arial"/>
          <w:b/>
          <w:bCs/>
          <w:color w:val="000000"/>
          <w:sz w:val="28"/>
          <w:szCs w:val="28"/>
        </w:rPr>
      </w:pPr>
      <w:r>
        <w:rPr>
          <w:rFonts w:ascii="Arial" w:hAnsi="Arial"/>
          <w:b/>
          <w:color w:val="000000"/>
          <w:sz w:val="28"/>
        </w:rPr>
        <w:t>Champ d'application (MOCK)</w:t>
      </w:r>
    </w:p>
    <w:p w14:paraId="4D7CD67E" w14:textId="21E937DD" w:rsidR="00BB0030" w:rsidRPr="0072267E" w:rsidRDefault="003D3078" w:rsidP="001278B3">
      <w:pPr>
        <w:tabs>
          <w:tab w:val="center" w:pos="4320"/>
          <w:tab w:val="right" w:pos="8640"/>
        </w:tabs>
        <w:spacing w:after="0" w:line="240" w:lineRule="auto"/>
        <w:ind w:left="1" w:hanging="3"/>
        <w:jc w:val="center"/>
        <w:rPr>
          <w:rFonts w:ascii="Arial" w:eastAsia="Garamond" w:hAnsi="Arial" w:cs="Arial"/>
          <w:b/>
          <w:bCs/>
          <w:color w:val="000000"/>
          <w:sz w:val="28"/>
          <w:szCs w:val="28"/>
        </w:rPr>
      </w:pPr>
      <w:r>
        <w:rPr>
          <w:rFonts w:ascii="Arial" w:hAnsi="Arial"/>
          <w:b/>
          <w:color w:val="000000"/>
          <w:sz w:val="28"/>
        </w:rPr>
        <w:t>Analyse de l</w:t>
      </w:r>
      <w:r w:rsidR="00AE4BC5">
        <w:rPr>
          <w:rFonts w:ascii="Arial" w:hAnsi="Arial"/>
          <w:b/>
          <w:color w:val="000000"/>
          <w:sz w:val="28"/>
        </w:rPr>
        <w:t>’</w:t>
      </w:r>
      <w:r>
        <w:rPr>
          <w:rFonts w:ascii="Arial" w:hAnsi="Arial"/>
          <w:b/>
          <w:color w:val="000000"/>
          <w:sz w:val="28"/>
        </w:rPr>
        <w:t>économie politique (PEA)</w:t>
      </w:r>
    </w:p>
    <w:p w14:paraId="79CFC790" w14:textId="77777777" w:rsidR="00145737" w:rsidRPr="0072267E" w:rsidRDefault="00145737" w:rsidP="001278B3">
      <w:pPr>
        <w:tabs>
          <w:tab w:val="center" w:pos="4320"/>
          <w:tab w:val="right" w:pos="8640"/>
        </w:tabs>
        <w:spacing w:after="0" w:line="240" w:lineRule="auto"/>
        <w:ind w:left="1" w:hanging="3"/>
        <w:jc w:val="center"/>
        <w:rPr>
          <w:rFonts w:ascii="Arial" w:eastAsia="Garamond" w:hAnsi="Arial" w:cs="Arial"/>
          <w:b/>
          <w:bCs/>
          <w:color w:val="000000"/>
          <w:sz w:val="28"/>
          <w:szCs w:val="28"/>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7099"/>
      </w:tblGrid>
      <w:tr w:rsidR="00145737" w:rsidRPr="0072267E"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72267E" w:rsidRDefault="00145737" w:rsidP="001278B3">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Titre du programme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4619C11" w:rsidR="00145737" w:rsidRPr="0072267E" w:rsidRDefault="003D3078" w:rsidP="001278B3">
            <w:pPr>
              <w:spacing w:after="0" w:line="240" w:lineRule="auto"/>
              <w:textAlignment w:val="baseline"/>
              <w:rPr>
                <w:rFonts w:ascii="Arial" w:eastAsia="Times New Roman" w:hAnsi="Arial" w:cs="Arial"/>
                <w:sz w:val="18"/>
                <w:szCs w:val="18"/>
              </w:rPr>
            </w:pPr>
            <w:r>
              <w:rPr>
                <w:rFonts w:ascii="Arial" w:hAnsi="Arial"/>
                <w:b/>
                <w:color w:val="5A5555"/>
                <w:sz w:val="17"/>
              </w:rPr>
              <w:t>Gouvernance locale pour la résilience (LGR)</w:t>
            </w:r>
          </w:p>
        </w:tc>
      </w:tr>
      <w:tr w:rsidR="00145737" w:rsidRPr="0072267E"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72267E" w:rsidRDefault="00145737" w:rsidP="001278B3">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Lieu(x) du programme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C8B30F1" w:rsidR="00145737" w:rsidRPr="0072267E" w:rsidRDefault="00145737" w:rsidP="001278B3">
            <w:pPr>
              <w:spacing w:after="0" w:line="240" w:lineRule="auto"/>
              <w:textAlignment w:val="baseline"/>
              <w:rPr>
                <w:rFonts w:ascii="Arial" w:eastAsia="Times New Roman" w:hAnsi="Arial" w:cs="Arial"/>
                <w:sz w:val="18"/>
                <w:szCs w:val="18"/>
              </w:rPr>
            </w:pPr>
            <w:proofErr w:type="spellStart"/>
            <w:r>
              <w:rPr>
                <w:rFonts w:ascii="Arial" w:hAnsi="Arial"/>
                <w:b/>
                <w:color w:val="5A5555"/>
                <w:sz w:val="17"/>
                <w:shd w:val="clear" w:color="auto" w:fill="FFFFFF"/>
              </w:rPr>
              <w:t>Xanadu</w:t>
            </w:r>
            <w:proofErr w:type="spellEnd"/>
            <w:r w:rsidR="00AE4BC5">
              <w:rPr>
                <w:rFonts w:ascii="Arial" w:hAnsi="Arial"/>
                <w:b/>
                <w:color w:val="5A5555"/>
                <w:sz w:val="17"/>
                <w:shd w:val="clear" w:color="auto" w:fill="FFFFFF"/>
              </w:rPr>
              <w:t> </w:t>
            </w:r>
            <w:r>
              <w:rPr>
                <w:rFonts w:ascii="Arial" w:hAnsi="Arial"/>
                <w:b/>
                <w:color w:val="5A5555"/>
                <w:sz w:val="17"/>
                <w:shd w:val="clear" w:color="auto" w:fill="FFFFFF"/>
              </w:rPr>
              <w:t>; pays tout entier</w:t>
            </w:r>
            <w:r w:rsidR="00AE4BC5">
              <w:rPr>
                <w:rFonts w:ascii="Arial" w:hAnsi="Arial"/>
                <w:b/>
                <w:color w:val="5A5555"/>
                <w:sz w:val="17"/>
                <w:shd w:val="clear" w:color="auto" w:fill="FFFFFF"/>
              </w:rPr>
              <w:t> </w:t>
            </w:r>
            <w:r>
              <w:rPr>
                <w:rFonts w:ascii="Arial" w:hAnsi="Arial"/>
                <w:b/>
                <w:color w:val="5A5555"/>
                <w:sz w:val="17"/>
                <w:shd w:val="clear" w:color="auto" w:fill="FFFFFF"/>
              </w:rPr>
              <w:t>; enclavé d</w:t>
            </w:r>
            <w:r w:rsidR="00AE4BC5">
              <w:rPr>
                <w:rFonts w:ascii="Arial" w:hAnsi="Arial"/>
                <w:b/>
                <w:color w:val="5A5555"/>
                <w:sz w:val="17"/>
                <w:shd w:val="clear" w:color="auto" w:fill="FFFFFF"/>
              </w:rPr>
              <w:t>’</w:t>
            </w:r>
            <w:r>
              <w:rPr>
                <w:rFonts w:ascii="Arial" w:hAnsi="Arial"/>
                <w:b/>
                <w:color w:val="5A5555"/>
                <w:sz w:val="17"/>
                <w:shd w:val="clear" w:color="auto" w:fill="FFFFFF"/>
              </w:rPr>
              <w:t>environ 25</w:t>
            </w:r>
            <w:r w:rsidR="00AE4BC5">
              <w:rPr>
                <w:rFonts w:ascii="Arial" w:hAnsi="Arial"/>
                <w:b/>
                <w:color w:val="5A5555"/>
                <w:sz w:val="17"/>
                <w:shd w:val="clear" w:color="auto" w:fill="FFFFFF"/>
              </w:rPr>
              <w:t> 000 </w:t>
            </w:r>
            <w:r>
              <w:rPr>
                <w:rFonts w:ascii="Arial" w:hAnsi="Arial"/>
                <w:b/>
                <w:color w:val="5A5555"/>
                <w:sz w:val="17"/>
                <w:shd w:val="clear" w:color="auto" w:fill="FFFFFF"/>
              </w:rPr>
              <w:t>kilomètres carrés, limitrophe de 5</w:t>
            </w:r>
            <w:r w:rsidR="00AE4BC5">
              <w:rPr>
                <w:rFonts w:ascii="Arial" w:hAnsi="Arial"/>
                <w:b/>
                <w:color w:val="5A5555"/>
                <w:sz w:val="17"/>
                <w:shd w:val="clear" w:color="auto" w:fill="FFFFFF"/>
              </w:rPr>
              <w:t> </w:t>
            </w:r>
            <w:r>
              <w:rPr>
                <w:rFonts w:ascii="Arial" w:hAnsi="Arial"/>
                <w:b/>
                <w:color w:val="5A5555"/>
                <w:sz w:val="17"/>
                <w:shd w:val="clear" w:color="auto" w:fill="FFFFFF"/>
              </w:rPr>
              <w:t>autres pays </w:t>
            </w:r>
            <w:r>
              <w:rPr>
                <w:rFonts w:ascii="Arial" w:hAnsi="Arial"/>
                <w:color w:val="5A5555"/>
                <w:sz w:val="17"/>
              </w:rPr>
              <w:t> </w:t>
            </w:r>
          </w:p>
        </w:tc>
      </w:tr>
      <w:tr w:rsidR="00145737" w:rsidRPr="0072267E"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72267E" w:rsidRDefault="00145737" w:rsidP="001278B3">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Durée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1E7B9FBB" w:rsidR="00145737" w:rsidRPr="0072267E" w:rsidRDefault="00145737" w:rsidP="001278B3">
            <w:pPr>
              <w:spacing w:after="0" w:line="240" w:lineRule="auto"/>
              <w:textAlignment w:val="baseline"/>
              <w:rPr>
                <w:rFonts w:ascii="Arial" w:eastAsia="Times New Roman" w:hAnsi="Arial" w:cs="Arial"/>
                <w:sz w:val="18"/>
                <w:szCs w:val="18"/>
              </w:rPr>
            </w:pPr>
            <w:r>
              <w:rPr>
                <w:rFonts w:ascii="Arial" w:hAnsi="Arial"/>
                <w:b/>
                <w:color w:val="5A5555"/>
                <w:sz w:val="17"/>
              </w:rPr>
              <w:t>Les travaux devraient commencer entre janvier et mars 2024, soit 1 à 2</w:t>
            </w:r>
            <w:r w:rsidR="00AE4BC5">
              <w:rPr>
                <w:rFonts w:ascii="Arial" w:hAnsi="Arial"/>
                <w:b/>
                <w:color w:val="5A5555"/>
                <w:sz w:val="17"/>
              </w:rPr>
              <w:t> </w:t>
            </w:r>
            <w:r>
              <w:rPr>
                <w:rFonts w:ascii="Arial" w:hAnsi="Arial"/>
                <w:b/>
                <w:color w:val="5A5555"/>
                <w:sz w:val="17"/>
              </w:rPr>
              <w:t>mois après le début du programme. Le rapport final doit être soumis avant le 31</w:t>
            </w:r>
            <w:r w:rsidR="00AE4BC5">
              <w:rPr>
                <w:rFonts w:ascii="Arial" w:hAnsi="Arial"/>
                <w:b/>
                <w:color w:val="5A5555"/>
                <w:sz w:val="17"/>
              </w:rPr>
              <w:t> </w:t>
            </w:r>
            <w:r>
              <w:rPr>
                <w:rFonts w:ascii="Arial" w:hAnsi="Arial"/>
                <w:b/>
                <w:color w:val="5A5555"/>
                <w:sz w:val="17"/>
              </w:rPr>
              <w:t>mars 2024.</w:t>
            </w:r>
            <w:r>
              <w:rPr>
                <w:rFonts w:ascii="Arial" w:hAnsi="Arial"/>
                <w:color w:val="5A5555"/>
                <w:sz w:val="17"/>
              </w:rPr>
              <w:t> </w:t>
            </w:r>
          </w:p>
        </w:tc>
      </w:tr>
    </w:tbl>
    <w:p w14:paraId="1D040DB3" w14:textId="77777777" w:rsidR="00145737" w:rsidRPr="0072267E" w:rsidRDefault="00145737" w:rsidP="001278B3">
      <w:pPr>
        <w:tabs>
          <w:tab w:val="center" w:pos="4320"/>
          <w:tab w:val="right" w:pos="8640"/>
        </w:tabs>
        <w:spacing w:after="0" w:line="240" w:lineRule="auto"/>
        <w:ind w:left="1" w:hanging="3"/>
        <w:jc w:val="center"/>
        <w:rPr>
          <w:rFonts w:ascii="Arial" w:eastAsia="Times New Roman" w:hAnsi="Arial" w:cs="Arial"/>
          <w:b/>
          <w:bCs/>
          <w:color w:val="000000"/>
        </w:rPr>
      </w:pPr>
    </w:p>
    <w:p w14:paraId="53E32735" w14:textId="07AB80D6" w:rsidR="00BB0030" w:rsidRPr="0072267E" w:rsidRDefault="00C36226" w:rsidP="001278B3">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Contexte</w:t>
      </w:r>
      <w:r w:rsidR="00AE4BC5">
        <w:rPr>
          <w:rFonts w:ascii="Arial" w:hAnsi="Arial"/>
          <w:b/>
          <w:color w:val="000000"/>
        </w:rPr>
        <w:t> </w:t>
      </w:r>
      <w:r>
        <w:rPr>
          <w:rFonts w:ascii="Arial" w:hAnsi="Arial"/>
          <w:b/>
          <w:color w:val="000000"/>
        </w:rPr>
        <w:t>:</w:t>
      </w:r>
    </w:p>
    <w:p w14:paraId="4AD8B4CF" w14:textId="4356A029" w:rsidR="003D3078" w:rsidRPr="0072267E" w:rsidRDefault="00C36226" w:rsidP="001278B3">
      <w:pPr>
        <w:spacing w:after="0" w:line="240" w:lineRule="auto"/>
        <w:jc w:val="both"/>
        <w:rPr>
          <w:rFonts w:ascii="Arial" w:hAnsi="Arial" w:cs="Arial"/>
          <w:color w:val="000000"/>
        </w:rPr>
      </w:pPr>
      <w:r>
        <w:rPr>
          <w:rFonts w:ascii="Arial" w:hAnsi="Arial"/>
          <w:color w:val="000000"/>
        </w:rPr>
        <w:t>Mercy Corps est une organisation</w:t>
      </w:r>
      <w:r>
        <w:rPr>
          <w:rFonts w:ascii="Arial" w:hAnsi="Arial"/>
        </w:rPr>
        <w:t xml:space="preserve"> mondiale</w:t>
      </w:r>
      <w:r>
        <w:rPr>
          <w:rFonts w:ascii="Arial" w:hAnsi="Arial"/>
          <w:color w:val="000000"/>
        </w:rPr>
        <w:t xml:space="preserve"> de premier plan, animée par la conviction qu</w:t>
      </w:r>
      <w:r w:rsidR="00AE4BC5">
        <w:rPr>
          <w:rFonts w:ascii="Arial" w:hAnsi="Arial"/>
          <w:color w:val="000000"/>
        </w:rPr>
        <w:t>’</w:t>
      </w:r>
      <w:r>
        <w:rPr>
          <w:rFonts w:ascii="Arial" w:hAnsi="Arial"/>
          <w:color w:val="000000"/>
        </w:rPr>
        <w:t>un monde meilleur est possible. En cas de catastrophe, dans des conditions difficiles, dans plus de 40</w:t>
      </w:r>
      <w:r w:rsidR="00AE4BC5">
        <w:rPr>
          <w:rFonts w:ascii="Arial" w:hAnsi="Arial"/>
          <w:color w:val="000000"/>
        </w:rPr>
        <w:t> </w:t>
      </w:r>
      <w:r>
        <w:rPr>
          <w:rFonts w:ascii="Arial" w:hAnsi="Arial"/>
          <w:color w:val="000000"/>
        </w:rPr>
        <w:t xml:space="preserve">pays à travers le monde. Mercy Corps opère au </w:t>
      </w:r>
      <w:proofErr w:type="spellStart"/>
      <w:r>
        <w:rPr>
          <w:rFonts w:ascii="Arial" w:hAnsi="Arial"/>
          <w:color w:val="000000"/>
        </w:rPr>
        <w:t>Xanadu</w:t>
      </w:r>
      <w:proofErr w:type="spellEnd"/>
      <w:r>
        <w:rPr>
          <w:rFonts w:ascii="Arial" w:hAnsi="Arial"/>
          <w:color w:val="000000"/>
        </w:rPr>
        <w:t xml:space="preserve"> depuis 2004, dans les zones rurales, périurbaines et u</w:t>
      </w:r>
      <w:r>
        <w:rPr>
          <w:rFonts w:ascii="Arial" w:hAnsi="Arial"/>
          <w:color w:val="000000"/>
        </w:rPr>
        <w:t xml:space="preserve">rbaines de cinq États régionaux. Le </w:t>
      </w:r>
      <w:proofErr w:type="spellStart"/>
      <w:r>
        <w:rPr>
          <w:rFonts w:ascii="Arial" w:hAnsi="Arial"/>
          <w:color w:val="000000"/>
        </w:rPr>
        <w:t>Xanadu</w:t>
      </w:r>
      <w:proofErr w:type="spellEnd"/>
      <w:r>
        <w:rPr>
          <w:rFonts w:ascii="Arial" w:hAnsi="Arial"/>
          <w:color w:val="000000"/>
        </w:rPr>
        <w:t xml:space="preserve"> compte la deuxième plus grande population de réfugiés de la région. </w:t>
      </w:r>
    </w:p>
    <w:p w14:paraId="0BE4F401" w14:textId="77777777" w:rsidR="003D3078" w:rsidRPr="0072267E" w:rsidRDefault="003D3078" w:rsidP="001278B3">
      <w:pPr>
        <w:spacing w:after="0" w:line="240" w:lineRule="auto"/>
        <w:jc w:val="both"/>
        <w:rPr>
          <w:rFonts w:ascii="Arial" w:hAnsi="Arial" w:cs="Arial"/>
          <w:color w:val="000000"/>
        </w:rPr>
      </w:pPr>
    </w:p>
    <w:p w14:paraId="464BB1D7" w14:textId="2B8E0D00" w:rsidR="003D3078" w:rsidRPr="0072267E" w:rsidRDefault="003D3078" w:rsidP="001278B3">
      <w:pPr>
        <w:spacing w:after="0" w:line="240" w:lineRule="auto"/>
        <w:jc w:val="both"/>
        <w:rPr>
          <w:rFonts w:ascii="Arial" w:hAnsi="Arial" w:cs="Arial"/>
          <w:color w:val="000000"/>
        </w:rPr>
      </w:pPr>
      <w:r>
        <w:rPr>
          <w:rFonts w:ascii="Arial" w:hAnsi="Arial"/>
          <w:color w:val="000000"/>
        </w:rPr>
        <w:t>L</w:t>
      </w:r>
      <w:r w:rsidR="00AE4BC5">
        <w:rPr>
          <w:rFonts w:ascii="Arial" w:hAnsi="Arial"/>
          <w:color w:val="000000"/>
        </w:rPr>
        <w:t>’</w:t>
      </w:r>
      <w:r>
        <w:rPr>
          <w:rFonts w:ascii="Arial" w:hAnsi="Arial"/>
          <w:color w:val="000000"/>
        </w:rPr>
        <w:t>activité LGR récemment attribuée sera mise en œuvre par le biais d</w:t>
      </w:r>
      <w:r w:rsidR="00AE4BC5">
        <w:rPr>
          <w:rFonts w:ascii="Arial" w:hAnsi="Arial"/>
          <w:color w:val="000000"/>
        </w:rPr>
        <w:t>’</w:t>
      </w:r>
      <w:r>
        <w:rPr>
          <w:rFonts w:ascii="Arial" w:hAnsi="Arial"/>
          <w:color w:val="000000"/>
        </w:rPr>
        <w:t>une approche progressive qui met l</w:t>
      </w:r>
      <w:r w:rsidR="00AE4BC5">
        <w:rPr>
          <w:rFonts w:ascii="Arial" w:hAnsi="Arial"/>
          <w:color w:val="000000"/>
        </w:rPr>
        <w:t>’</w:t>
      </w:r>
      <w:r>
        <w:rPr>
          <w:rFonts w:ascii="Arial" w:hAnsi="Arial"/>
          <w:color w:val="000000"/>
        </w:rPr>
        <w:t>accent sur l</w:t>
      </w:r>
      <w:r w:rsidR="00AE4BC5">
        <w:rPr>
          <w:rFonts w:ascii="Arial" w:hAnsi="Arial"/>
          <w:color w:val="000000"/>
        </w:rPr>
        <w:t>’</w:t>
      </w:r>
      <w:r>
        <w:rPr>
          <w:rFonts w:ascii="Arial" w:hAnsi="Arial"/>
          <w:color w:val="000000"/>
        </w:rPr>
        <w:t>analyse des lacunes, ainsi que sur le partenariat, l</w:t>
      </w:r>
      <w:r w:rsidR="00AE4BC5">
        <w:rPr>
          <w:rFonts w:ascii="Arial" w:hAnsi="Arial"/>
          <w:color w:val="000000"/>
        </w:rPr>
        <w:t>’</w:t>
      </w:r>
      <w:r>
        <w:rPr>
          <w:rFonts w:ascii="Arial" w:hAnsi="Arial"/>
          <w:color w:val="000000"/>
        </w:rPr>
        <w:t xml:space="preserve">apprentissage et la </w:t>
      </w:r>
      <w:proofErr w:type="spellStart"/>
      <w:r>
        <w:rPr>
          <w:rFonts w:ascii="Arial" w:hAnsi="Arial"/>
          <w:color w:val="000000"/>
        </w:rPr>
        <w:t>co-création</w:t>
      </w:r>
      <w:proofErr w:type="spellEnd"/>
      <w:r>
        <w:rPr>
          <w:rFonts w:ascii="Arial" w:hAnsi="Arial"/>
          <w:color w:val="000000"/>
        </w:rPr>
        <w:t xml:space="preserve"> avec le gouvernement, la société civile, les communautés et le secteur privé. LGR vise à améliorer durablement la sécurité alimentaire et le développement économique dans les zones opérationnelles de </w:t>
      </w:r>
      <w:proofErr w:type="spellStart"/>
      <w:r>
        <w:rPr>
          <w:rFonts w:ascii="Arial" w:hAnsi="Arial"/>
          <w:color w:val="000000"/>
        </w:rPr>
        <w:t>Xanadu</w:t>
      </w:r>
      <w:proofErr w:type="spellEnd"/>
      <w:r>
        <w:rPr>
          <w:rFonts w:ascii="Arial" w:hAnsi="Arial"/>
          <w:color w:val="000000"/>
        </w:rPr>
        <w:t>. LGR réunit le leadership mondial, l</w:t>
      </w:r>
      <w:r w:rsidR="00AE4BC5">
        <w:rPr>
          <w:rFonts w:ascii="Arial" w:hAnsi="Arial"/>
          <w:color w:val="000000"/>
        </w:rPr>
        <w:t>’</w:t>
      </w:r>
      <w:r>
        <w:rPr>
          <w:rFonts w:ascii="Arial" w:hAnsi="Arial"/>
          <w:color w:val="000000"/>
        </w:rPr>
        <w:t>expertise technique et l</w:t>
      </w:r>
      <w:r w:rsidR="00AE4BC5">
        <w:rPr>
          <w:rFonts w:ascii="Arial" w:hAnsi="Arial"/>
          <w:color w:val="000000"/>
        </w:rPr>
        <w:t>’</w:t>
      </w:r>
      <w:r>
        <w:rPr>
          <w:rFonts w:ascii="Arial" w:hAnsi="Arial"/>
          <w:color w:val="000000"/>
        </w:rPr>
        <w:t>expérience de mise en œuvre nécessaires pour s</w:t>
      </w:r>
      <w:r w:rsidR="00AE4BC5">
        <w:rPr>
          <w:rFonts w:ascii="Arial" w:hAnsi="Arial"/>
          <w:color w:val="000000"/>
        </w:rPr>
        <w:t>’</w:t>
      </w:r>
      <w:r>
        <w:rPr>
          <w:rFonts w:ascii="Arial" w:hAnsi="Arial"/>
          <w:color w:val="000000"/>
        </w:rPr>
        <w:t>associer à des institutions locales afin de tester, d</w:t>
      </w:r>
      <w:r w:rsidR="00AE4BC5">
        <w:rPr>
          <w:rFonts w:ascii="Arial" w:hAnsi="Arial"/>
          <w:color w:val="000000"/>
        </w:rPr>
        <w:t>’</w:t>
      </w:r>
      <w:r>
        <w:rPr>
          <w:rFonts w:ascii="Arial" w:hAnsi="Arial"/>
          <w:color w:val="000000"/>
        </w:rPr>
        <w:t>adapter et d</w:t>
      </w:r>
      <w:r w:rsidR="00AE4BC5">
        <w:rPr>
          <w:rFonts w:ascii="Arial" w:hAnsi="Arial"/>
          <w:color w:val="000000"/>
        </w:rPr>
        <w:t>’</w:t>
      </w:r>
      <w:r>
        <w:rPr>
          <w:rFonts w:ascii="Arial" w:hAnsi="Arial"/>
          <w:color w:val="000000"/>
        </w:rPr>
        <w:t>étendre des solutions fondées sur des données probantes. Le programme nécessite une conception solide centrée sur le gouvernement local, avec le leadership du gouvernement, l</w:t>
      </w:r>
      <w:r w:rsidR="00AE4BC5">
        <w:rPr>
          <w:rFonts w:ascii="Arial" w:hAnsi="Arial"/>
          <w:color w:val="000000"/>
        </w:rPr>
        <w:t>’</w:t>
      </w:r>
      <w:r>
        <w:rPr>
          <w:rFonts w:ascii="Arial" w:hAnsi="Arial"/>
          <w:color w:val="000000"/>
        </w:rPr>
        <w:t xml:space="preserve">engagement actif des communautés, du secteur privé et de la société civile. Ensemble, nous renforcerons durablement la sécurité alimentaire et le développement économique des populations vulnérables des communautés LGR. </w:t>
      </w:r>
    </w:p>
    <w:p w14:paraId="3AF0F387" w14:textId="77777777" w:rsidR="006454BC" w:rsidRPr="0072267E" w:rsidRDefault="006454BC" w:rsidP="001278B3">
      <w:pPr>
        <w:spacing w:after="0" w:line="240" w:lineRule="auto"/>
        <w:jc w:val="both"/>
        <w:rPr>
          <w:rFonts w:ascii="Arial" w:hAnsi="Arial" w:cs="Arial"/>
          <w:color w:val="000000"/>
        </w:rPr>
      </w:pPr>
    </w:p>
    <w:p w14:paraId="42AD6A80" w14:textId="55CAC56B" w:rsidR="003D3078" w:rsidRPr="0072267E" w:rsidRDefault="003D3078" w:rsidP="001278B3">
      <w:pPr>
        <w:spacing w:after="0" w:line="240" w:lineRule="auto"/>
        <w:jc w:val="both"/>
        <w:rPr>
          <w:rFonts w:ascii="Arial" w:hAnsi="Arial" w:cs="Arial"/>
          <w:color w:val="000000"/>
        </w:rPr>
      </w:pPr>
      <w:r>
        <w:rPr>
          <w:rFonts w:ascii="Arial" w:hAnsi="Arial"/>
          <w:color w:val="000000"/>
        </w:rPr>
        <w:t>La composante «</w:t>
      </w:r>
      <w:r w:rsidR="00AE4BC5">
        <w:rPr>
          <w:rFonts w:ascii="Arial" w:hAnsi="Arial"/>
          <w:color w:val="000000"/>
        </w:rPr>
        <w:t> </w:t>
      </w:r>
      <w:r>
        <w:rPr>
          <w:rFonts w:ascii="Arial" w:hAnsi="Arial"/>
          <w:color w:val="000000"/>
        </w:rPr>
        <w:t>renforcement de la gouvernance locale</w:t>
      </w:r>
      <w:r w:rsidR="00AE4BC5">
        <w:rPr>
          <w:rFonts w:ascii="Arial" w:hAnsi="Arial"/>
          <w:color w:val="000000"/>
        </w:rPr>
        <w:t> </w:t>
      </w:r>
      <w:r>
        <w:rPr>
          <w:rFonts w:ascii="Arial" w:hAnsi="Arial"/>
          <w:color w:val="000000"/>
        </w:rPr>
        <w:t>» du programme LGR coordonnera ses activités entre les secteurs techniques et les composantes du programme afin de soutenir l</w:t>
      </w:r>
      <w:r w:rsidR="00AE4BC5">
        <w:rPr>
          <w:rFonts w:ascii="Arial" w:hAnsi="Arial"/>
          <w:color w:val="000000"/>
        </w:rPr>
        <w:t>’</w:t>
      </w:r>
      <w:r>
        <w:rPr>
          <w:rFonts w:ascii="Arial" w:hAnsi="Arial"/>
          <w:color w:val="000000"/>
        </w:rPr>
        <w:t>environnement général favorable à la sécurité alimentaire et à la prospérité des communautés. Cette démarche s</w:t>
      </w:r>
      <w:r w:rsidR="00AE4BC5">
        <w:rPr>
          <w:rFonts w:ascii="Arial" w:hAnsi="Arial"/>
          <w:color w:val="000000"/>
        </w:rPr>
        <w:t>’</w:t>
      </w:r>
      <w:r>
        <w:rPr>
          <w:rFonts w:ascii="Arial" w:hAnsi="Arial"/>
          <w:color w:val="000000"/>
        </w:rPr>
        <w:t>appuiera sur des interactions stratégiques avec les autorités locales, la société civile et les structures, institutions et associations communautaires. Dans le cadre du programme LGR, il renforcera les capacités institutionnelles et les systèmes de gouvernance locale et mobilisera les communautés pour créer des opportunités de gouvernance responsable et inclusive, pour construire des communautés plus sûres sur le plan alimentaire et plus saines et pour soutenir le changement systémique dans la gouvernance et l</w:t>
      </w:r>
      <w:r w:rsidR="00AE4BC5">
        <w:rPr>
          <w:rFonts w:ascii="Arial" w:hAnsi="Arial"/>
          <w:color w:val="000000"/>
        </w:rPr>
        <w:t>’</w:t>
      </w:r>
      <w:r>
        <w:rPr>
          <w:rFonts w:ascii="Arial" w:hAnsi="Arial"/>
          <w:color w:val="000000"/>
        </w:rPr>
        <w:t>environnement favorable en ce qui concerne les politiques et les lois existantes.</w:t>
      </w:r>
    </w:p>
    <w:p w14:paraId="04BD8449" w14:textId="77777777" w:rsidR="00175F92" w:rsidRPr="0072267E" w:rsidRDefault="00175F92" w:rsidP="001278B3">
      <w:pPr>
        <w:spacing w:after="0" w:line="240" w:lineRule="auto"/>
        <w:jc w:val="both"/>
        <w:rPr>
          <w:rFonts w:ascii="Arial" w:hAnsi="Arial" w:cs="Arial"/>
          <w:color w:val="000000"/>
        </w:rPr>
      </w:pPr>
    </w:p>
    <w:p w14:paraId="46438F55" w14:textId="5F046D1D" w:rsidR="00175F92" w:rsidRPr="0072267E" w:rsidRDefault="00175F92" w:rsidP="001278B3">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Objectif</w:t>
      </w:r>
      <w:r w:rsidR="00AE4BC5">
        <w:rPr>
          <w:rFonts w:ascii="Arial" w:hAnsi="Arial"/>
          <w:b/>
          <w:color w:val="000000"/>
        </w:rPr>
        <w:t> </w:t>
      </w:r>
      <w:r>
        <w:rPr>
          <w:rFonts w:ascii="Arial" w:hAnsi="Arial"/>
          <w:b/>
          <w:color w:val="000000"/>
        </w:rPr>
        <w:t>:</w:t>
      </w:r>
    </w:p>
    <w:p w14:paraId="2744A4AE" w14:textId="1201BCCF" w:rsidR="006454BC" w:rsidRPr="0072267E" w:rsidRDefault="006454BC" w:rsidP="001278B3">
      <w:pPr>
        <w:spacing w:line="240" w:lineRule="auto"/>
        <w:jc w:val="both"/>
        <w:rPr>
          <w:rFonts w:ascii="Arial" w:hAnsi="Arial" w:cs="Arial"/>
          <w:color w:val="000000"/>
        </w:rPr>
      </w:pPr>
      <w:r>
        <w:rPr>
          <w:rFonts w:ascii="Arial" w:hAnsi="Arial"/>
          <w:color w:val="000000"/>
        </w:rPr>
        <w:t>L</w:t>
      </w:r>
      <w:r w:rsidR="00AE4BC5">
        <w:rPr>
          <w:rFonts w:ascii="Arial" w:hAnsi="Arial"/>
          <w:color w:val="000000"/>
        </w:rPr>
        <w:t>’</w:t>
      </w:r>
      <w:r>
        <w:rPr>
          <w:rFonts w:ascii="Arial" w:hAnsi="Arial"/>
          <w:color w:val="000000"/>
        </w:rPr>
        <w:t>objectif de cette analyse est de répondre à la question suivante</w:t>
      </w:r>
      <w:r w:rsidR="00AE4BC5">
        <w:rPr>
          <w:rFonts w:ascii="Arial" w:hAnsi="Arial"/>
          <w:color w:val="000000"/>
        </w:rPr>
        <w:t> </w:t>
      </w:r>
      <w:r>
        <w:rPr>
          <w:rFonts w:ascii="Arial" w:hAnsi="Arial"/>
          <w:color w:val="000000"/>
        </w:rPr>
        <w:t>: Quels sont les facteurs d</w:t>
      </w:r>
      <w:r w:rsidR="00AE4BC5">
        <w:rPr>
          <w:rFonts w:ascii="Arial" w:hAnsi="Arial"/>
          <w:color w:val="000000"/>
        </w:rPr>
        <w:t>’</w:t>
      </w:r>
      <w:r>
        <w:rPr>
          <w:rFonts w:ascii="Arial" w:hAnsi="Arial"/>
          <w:color w:val="000000"/>
        </w:rPr>
        <w:t>économie politique qui influencent la dynamique des politiques, des institutions et des décisions communautaires en matière de développement et de résilience, qui régissent la sécurité alimentaire et le développement économique des communautés de LGR</w:t>
      </w:r>
      <w:r w:rsidR="00AE4BC5">
        <w:rPr>
          <w:rFonts w:ascii="Arial" w:hAnsi="Arial"/>
          <w:color w:val="000000"/>
        </w:rPr>
        <w:t> </w:t>
      </w:r>
      <w:r>
        <w:rPr>
          <w:rFonts w:ascii="Arial" w:hAnsi="Arial"/>
          <w:color w:val="000000"/>
        </w:rPr>
        <w:t>? Cette analyse permettra</w:t>
      </w:r>
      <w:r w:rsidR="00AE4BC5">
        <w:rPr>
          <w:rFonts w:ascii="Arial" w:hAnsi="Arial"/>
          <w:color w:val="000000"/>
        </w:rPr>
        <w:t> </w:t>
      </w:r>
      <w:r>
        <w:rPr>
          <w:rFonts w:ascii="Arial" w:hAnsi="Arial"/>
          <w:color w:val="000000"/>
        </w:rPr>
        <w:t>:</w:t>
      </w:r>
    </w:p>
    <w:p w14:paraId="05524A6C" w14:textId="67B5074C" w:rsidR="006454BC" w:rsidRPr="0072267E" w:rsidRDefault="006454BC" w:rsidP="001278B3">
      <w:pPr>
        <w:pStyle w:val="ListParagraph"/>
        <w:numPr>
          <w:ilvl w:val="0"/>
          <w:numId w:val="33"/>
        </w:numPr>
        <w:jc w:val="both"/>
        <w:rPr>
          <w:rFonts w:ascii="Arial" w:hAnsi="Arial" w:cs="Arial"/>
          <w:color w:val="000000"/>
          <w:sz w:val="22"/>
          <w:szCs w:val="22"/>
        </w:rPr>
      </w:pPr>
      <w:r>
        <w:rPr>
          <w:rFonts w:ascii="Arial" w:hAnsi="Arial"/>
          <w:color w:val="000000"/>
          <w:sz w:val="22"/>
        </w:rPr>
        <w:lastRenderedPageBreak/>
        <w:t>d’informer la conception et les stratégies du programme de l</w:t>
      </w:r>
      <w:r w:rsidR="00AE4BC5">
        <w:rPr>
          <w:rFonts w:ascii="Arial" w:hAnsi="Arial"/>
          <w:color w:val="000000"/>
          <w:sz w:val="22"/>
        </w:rPr>
        <w:t>’</w:t>
      </w:r>
      <w:r>
        <w:rPr>
          <w:rFonts w:ascii="Arial" w:hAnsi="Arial"/>
          <w:color w:val="000000"/>
          <w:sz w:val="22"/>
        </w:rPr>
        <w:t>activité LGR et influencer son approche avec les gouvernements partenaires et les autres parties prenantes</w:t>
      </w:r>
    </w:p>
    <w:p w14:paraId="5977D184" w14:textId="26E5CDFF" w:rsidR="006454BC" w:rsidRPr="0072267E" w:rsidRDefault="006454BC" w:rsidP="001278B3">
      <w:pPr>
        <w:pStyle w:val="ListParagraph"/>
        <w:numPr>
          <w:ilvl w:val="0"/>
          <w:numId w:val="33"/>
        </w:numPr>
        <w:spacing w:after="240"/>
        <w:jc w:val="both"/>
        <w:rPr>
          <w:rFonts w:ascii="Arial" w:hAnsi="Arial" w:cs="Arial"/>
          <w:color w:val="000000"/>
          <w:sz w:val="22"/>
          <w:szCs w:val="22"/>
        </w:rPr>
      </w:pPr>
      <w:r>
        <w:rPr>
          <w:rFonts w:ascii="Arial" w:hAnsi="Arial"/>
          <w:color w:val="000000"/>
          <w:sz w:val="22"/>
        </w:rPr>
        <w:t>d’explorer la dynamique de la prise et de la poursuite des décisions dans les différents domaines techniques pertinents dans lesquels LGR travaillera</w:t>
      </w:r>
      <w:r w:rsidR="00AE4BC5">
        <w:rPr>
          <w:rFonts w:ascii="Arial" w:hAnsi="Arial"/>
          <w:color w:val="000000"/>
          <w:sz w:val="22"/>
        </w:rPr>
        <w:t> </w:t>
      </w:r>
      <w:r>
        <w:rPr>
          <w:rFonts w:ascii="Arial" w:hAnsi="Arial"/>
          <w:color w:val="000000"/>
          <w:sz w:val="22"/>
        </w:rPr>
        <w:t>; et identifier les facteurs qui favoriseront ou inhiberont le changement, la réforme et le progrès dans ces secteurs.</w:t>
      </w:r>
    </w:p>
    <w:p w14:paraId="64467A4B" w14:textId="591C6BE1" w:rsidR="006454BC" w:rsidRPr="0072267E" w:rsidRDefault="006454BC" w:rsidP="001278B3">
      <w:pPr>
        <w:spacing w:after="0" w:line="240" w:lineRule="auto"/>
        <w:jc w:val="both"/>
        <w:rPr>
          <w:rFonts w:ascii="Arial" w:hAnsi="Arial" w:cs="Arial"/>
          <w:color w:val="000000"/>
        </w:rPr>
      </w:pPr>
      <w:r>
        <w:rPr>
          <w:rFonts w:ascii="Arial" w:hAnsi="Arial"/>
          <w:color w:val="000000"/>
        </w:rPr>
        <w:t>Cette analyse servira également à fournir une compréhension fondamentale des principales forces de performance, des lacunes institutionnelles et systémiques de l</w:t>
      </w:r>
      <w:r w:rsidR="00AE4BC5">
        <w:rPr>
          <w:rFonts w:ascii="Arial" w:hAnsi="Arial"/>
          <w:color w:val="000000"/>
        </w:rPr>
        <w:t>’</w:t>
      </w:r>
      <w:r>
        <w:rPr>
          <w:rFonts w:ascii="Arial" w:hAnsi="Arial"/>
          <w:color w:val="000000"/>
        </w:rPr>
        <w:t xml:space="preserve">administration locale, et de leurs relations avec les structures des </w:t>
      </w:r>
      <w:proofErr w:type="spellStart"/>
      <w:r>
        <w:rPr>
          <w:rFonts w:ascii="Arial" w:hAnsi="Arial"/>
          <w:color w:val="000000"/>
        </w:rPr>
        <w:t>sous-comtés</w:t>
      </w:r>
      <w:proofErr w:type="spellEnd"/>
      <w:r>
        <w:rPr>
          <w:rFonts w:ascii="Arial" w:hAnsi="Arial"/>
          <w:color w:val="000000"/>
        </w:rPr>
        <w:t xml:space="preserve"> et les communautés.</w:t>
      </w:r>
    </w:p>
    <w:p w14:paraId="40A4A409" w14:textId="77777777" w:rsidR="00471693" w:rsidRPr="0072267E" w:rsidRDefault="00471693" w:rsidP="001278B3">
      <w:pPr>
        <w:spacing w:after="0" w:line="240" w:lineRule="auto"/>
        <w:jc w:val="both"/>
        <w:rPr>
          <w:rFonts w:ascii="Arial" w:hAnsi="Arial" w:cs="Arial"/>
          <w:color w:val="000000"/>
        </w:rPr>
      </w:pPr>
    </w:p>
    <w:p w14:paraId="12DB6A10" w14:textId="0FDABA07" w:rsidR="00471693" w:rsidRPr="0072267E" w:rsidRDefault="00471693" w:rsidP="001278B3">
      <w:pPr>
        <w:spacing w:after="0" w:line="240" w:lineRule="auto"/>
        <w:jc w:val="both"/>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60288" behindDoc="0" locked="0" layoutInCell="1" allowOverlap="1" wp14:anchorId="551F591E" wp14:editId="2EAAB73C">
                <wp:simplePos x="0" y="0"/>
                <wp:positionH relativeFrom="margin">
                  <wp:posOffset>0</wp:posOffset>
                </wp:positionH>
                <wp:positionV relativeFrom="paragraph">
                  <wp:posOffset>208915</wp:posOffset>
                </wp:positionV>
                <wp:extent cx="5613400" cy="635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0680A230" w14:textId="3395126C" w:rsidR="00471693" w:rsidRDefault="00471693" w:rsidP="00471693">
                            <w:r>
                              <w:rPr>
                                <w:rFonts w:ascii="Arial" w:hAnsi="Arial"/>
                                <w:color w:val="000000"/>
                              </w:rPr>
                              <w:t xml:space="preserve">Ne copiez pas et ne collez pas ces objectifs dans votre proposition technique. Vous ne </w:t>
                            </w:r>
                            <w:proofErr w:type="spellStart"/>
                            <w:r>
                              <w:rPr>
                                <w:rFonts w:ascii="Arial" w:hAnsi="Arial"/>
                                <w:color w:val="000000"/>
                              </w:rPr>
                              <w:t>devez vous</w:t>
                            </w:r>
                            <w:proofErr w:type="spellEnd"/>
                            <w:r>
                              <w:rPr>
                                <w:rFonts w:ascii="Arial" w:hAnsi="Arial"/>
                                <w:color w:val="000000"/>
                              </w:rPr>
                              <w:t xml:space="preserve"> référer à ce cahier des charges que si vous souhaitez faire référence aux objectifs (par exemple, pour atteindre les objectifs</w:t>
                            </w:r>
                            <w:r w:rsidR="00AE4BC5">
                              <w:rPr>
                                <w:rFonts w:ascii="Arial" w:hAnsi="Arial"/>
                                <w:color w:val="000000"/>
                              </w:rPr>
                              <w:t> </w:t>
                            </w:r>
                            <w:r>
                              <w:rPr>
                                <w:rFonts w:ascii="Arial" w:hAnsi="Arial"/>
                                <w:color w:val="000000"/>
                              </w:rPr>
                              <w:t xml:space="preserve">1 et/ou 2 du cahier des charges, nous proposons.......).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F591E" id="_x0000_t202" coordsize="21600,21600" o:spt="202" path="m,l,21600r21600,l21600,xe">
                <v:stroke joinstyle="miter"/>
                <v:path gradientshapeok="t" o:connecttype="rect"/>
              </v:shapetype>
              <v:shape id="Text Box 2" o:spid="_x0000_s1026" type="#_x0000_t202" style="position:absolute;left:0;text-align:left;margin-left:0;margin-top:16.45pt;width:442pt;height:5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GGSL&#10;dNwAAAAHAQAADwAAAAAAAAAAAAAAAABqBAAAZHJzL2Rvd25yZXYueG1sUEsFBgAAAAAEAAQA8wAA&#10;AHMFAAAAAA==&#10;">
                <v:textbox>
                  <w:txbxContent>
                    <w:p w14:paraId="0680A230" w14:textId="3395126C" w:rsidR="00471693" w:rsidRDefault="00471693" w:rsidP="00471693">
                      <w:r>
                        <w:rPr>
                          <w:rFonts w:ascii="Arial" w:hAnsi="Arial"/>
                          <w:color w:val="000000"/>
                        </w:rPr>
                        <w:t xml:space="preserve">Ne copiez pas et ne collez pas ces objectifs dans votre proposition technique. Vous ne </w:t>
                      </w:r>
                      <w:proofErr w:type="spellStart"/>
                      <w:r>
                        <w:rPr>
                          <w:rFonts w:ascii="Arial" w:hAnsi="Arial"/>
                          <w:color w:val="000000"/>
                        </w:rPr>
                        <w:t>devez vous</w:t>
                      </w:r>
                      <w:proofErr w:type="spellEnd"/>
                      <w:r>
                        <w:rPr>
                          <w:rFonts w:ascii="Arial" w:hAnsi="Arial"/>
                          <w:color w:val="000000"/>
                        </w:rPr>
                        <w:t xml:space="preserve"> référer à ce cahier des charges que si vous souhaitez faire référence aux objectifs (par exemple, pour atteindre les objectifs</w:t>
                      </w:r>
                      <w:r w:rsidR="00AE4BC5">
                        <w:rPr>
                          <w:rFonts w:ascii="Arial" w:hAnsi="Arial"/>
                          <w:color w:val="000000"/>
                        </w:rPr>
                        <w:t> </w:t>
                      </w:r>
                      <w:r>
                        <w:rPr>
                          <w:rFonts w:ascii="Arial" w:hAnsi="Arial"/>
                          <w:color w:val="000000"/>
                        </w:rPr>
                        <w:t xml:space="preserve">1 et/ou 2 du cahier des charges, nous proposons.......).  </w:t>
                      </w:r>
                    </w:p>
                  </w:txbxContent>
                </v:textbox>
                <w10:wrap type="square" anchorx="margin"/>
              </v:shape>
            </w:pict>
          </mc:Fallback>
        </mc:AlternateContent>
      </w:r>
    </w:p>
    <w:p w14:paraId="52B8BF19" w14:textId="77777777" w:rsidR="006454BC" w:rsidRPr="0072267E" w:rsidRDefault="006454BC" w:rsidP="001278B3">
      <w:pPr>
        <w:spacing w:after="0" w:line="240" w:lineRule="auto"/>
        <w:jc w:val="both"/>
        <w:rPr>
          <w:rFonts w:ascii="Arial" w:hAnsi="Arial" w:cs="Arial"/>
          <w:color w:val="000000"/>
        </w:rPr>
      </w:pPr>
    </w:p>
    <w:p w14:paraId="0345C688" w14:textId="4FF17AE4" w:rsidR="00F36B2F" w:rsidRPr="0072267E" w:rsidRDefault="00F36B2F" w:rsidP="001278B3">
      <w:pPr>
        <w:numPr>
          <w:ilvl w:val="0"/>
          <w:numId w:val="18"/>
        </w:numPr>
        <w:pBdr>
          <w:top w:val="nil"/>
          <w:left w:val="nil"/>
          <w:bottom w:val="nil"/>
          <w:right w:val="nil"/>
          <w:between w:val="nil"/>
        </w:pBdr>
        <w:spacing w:line="240" w:lineRule="auto"/>
        <w:jc w:val="both"/>
        <w:rPr>
          <w:rFonts w:ascii="Arial" w:hAnsi="Arial" w:cs="Arial"/>
          <w:color w:val="000000"/>
        </w:rPr>
      </w:pPr>
      <w:r>
        <w:rPr>
          <w:rFonts w:ascii="Arial" w:hAnsi="Arial"/>
          <w:b/>
          <w:color w:val="000000"/>
        </w:rPr>
        <w:t>Champ d</w:t>
      </w:r>
      <w:r w:rsidR="00AE4BC5">
        <w:rPr>
          <w:rFonts w:ascii="Arial" w:hAnsi="Arial"/>
          <w:b/>
          <w:color w:val="000000"/>
        </w:rPr>
        <w:t>’</w:t>
      </w:r>
      <w:r>
        <w:rPr>
          <w:rFonts w:ascii="Arial" w:hAnsi="Arial"/>
          <w:b/>
          <w:color w:val="000000"/>
        </w:rPr>
        <w:t>application de l</w:t>
      </w:r>
      <w:r w:rsidR="00AE4BC5">
        <w:rPr>
          <w:rFonts w:ascii="Arial" w:hAnsi="Arial"/>
          <w:b/>
          <w:color w:val="000000"/>
        </w:rPr>
        <w:t>’</w:t>
      </w:r>
      <w:r>
        <w:rPr>
          <w:rFonts w:ascii="Arial" w:hAnsi="Arial"/>
          <w:b/>
          <w:color w:val="000000"/>
        </w:rPr>
        <w:t>enquête</w:t>
      </w:r>
    </w:p>
    <w:p w14:paraId="26D8ABA7" w14:textId="7E04528B" w:rsidR="00E32B3A" w:rsidRPr="0072267E" w:rsidRDefault="00E32B3A" w:rsidP="001278B3">
      <w:pPr>
        <w:spacing w:line="240" w:lineRule="auto"/>
        <w:rPr>
          <w:rFonts w:ascii="Arial" w:hAnsi="Arial" w:cs="Arial"/>
          <w:u w:val="single"/>
        </w:rPr>
      </w:pPr>
      <w:r>
        <w:rPr>
          <w:rFonts w:ascii="Arial" w:hAnsi="Arial"/>
          <w:u w:val="single"/>
        </w:rPr>
        <w:t>Niveaux d</w:t>
      </w:r>
      <w:r w:rsidR="00AE4BC5">
        <w:rPr>
          <w:rFonts w:ascii="Arial" w:hAnsi="Arial"/>
          <w:u w:val="single"/>
        </w:rPr>
        <w:t>’</w:t>
      </w:r>
      <w:r>
        <w:rPr>
          <w:rFonts w:ascii="Arial" w:hAnsi="Arial"/>
          <w:u w:val="single"/>
        </w:rPr>
        <w:t>analyse PEA</w:t>
      </w:r>
    </w:p>
    <w:p w14:paraId="613DEA4D" w14:textId="4AAD1839" w:rsidR="00E32B3A" w:rsidRPr="0072267E" w:rsidRDefault="00E32B3A" w:rsidP="001278B3">
      <w:pPr>
        <w:numPr>
          <w:ilvl w:val="0"/>
          <w:numId w:val="36"/>
        </w:numPr>
        <w:spacing w:after="0" w:line="240" w:lineRule="auto"/>
        <w:rPr>
          <w:rFonts w:ascii="Arial" w:hAnsi="Arial" w:cs="Arial"/>
        </w:rPr>
      </w:pPr>
      <w:r>
        <w:rPr>
          <w:rFonts w:ascii="Arial" w:hAnsi="Arial"/>
          <w:u w:val="single"/>
        </w:rPr>
        <w:t>PEA au niveau du comté</w:t>
      </w:r>
      <w:r w:rsidR="00AE4BC5">
        <w:rPr>
          <w:rFonts w:ascii="Arial" w:hAnsi="Arial"/>
          <w:u w:val="single"/>
        </w:rPr>
        <w:t> </w:t>
      </w:r>
      <w:r>
        <w:rPr>
          <w:rFonts w:ascii="Arial" w:hAnsi="Arial"/>
        </w:rPr>
        <w:t>: Une analyse de la dynamique politique et économique au niveau du comté qui affecte les perspectives de développement réussi. Cette analyse portera sur la dynamique des comtés, ainsi que sur les relations et l</w:t>
      </w:r>
      <w:r w:rsidR="00AE4BC5">
        <w:rPr>
          <w:rFonts w:ascii="Arial" w:hAnsi="Arial"/>
        </w:rPr>
        <w:t>’</w:t>
      </w:r>
      <w:r>
        <w:rPr>
          <w:rFonts w:ascii="Arial" w:hAnsi="Arial"/>
        </w:rPr>
        <w:t>influence des comtés voisins.</w:t>
      </w:r>
    </w:p>
    <w:p w14:paraId="1F527480" w14:textId="55DB7467" w:rsidR="00E32B3A" w:rsidRPr="0072267E" w:rsidRDefault="00E32B3A" w:rsidP="001278B3">
      <w:pPr>
        <w:numPr>
          <w:ilvl w:val="0"/>
          <w:numId w:val="36"/>
        </w:numPr>
        <w:spacing w:after="0" w:line="240" w:lineRule="auto"/>
        <w:rPr>
          <w:rFonts w:ascii="Arial" w:hAnsi="Arial" w:cs="Arial"/>
        </w:rPr>
      </w:pPr>
      <w:r>
        <w:rPr>
          <w:rFonts w:ascii="Arial" w:hAnsi="Arial"/>
          <w:u w:val="single"/>
        </w:rPr>
        <w:t>PEA sectorielle</w:t>
      </w:r>
      <w:r w:rsidR="00AE4BC5">
        <w:rPr>
          <w:rFonts w:ascii="Arial" w:hAnsi="Arial"/>
          <w:u w:val="single"/>
        </w:rPr>
        <w:t> </w:t>
      </w:r>
      <w:r>
        <w:rPr>
          <w:rFonts w:ascii="Arial" w:hAnsi="Arial"/>
        </w:rPr>
        <w:t>: L</w:t>
      </w:r>
      <w:r w:rsidR="00AE4BC5">
        <w:rPr>
          <w:rFonts w:ascii="Arial" w:hAnsi="Arial"/>
        </w:rPr>
        <w:t>’</w:t>
      </w:r>
      <w:r>
        <w:rPr>
          <w:rFonts w:ascii="Arial" w:hAnsi="Arial"/>
        </w:rPr>
        <w:t>analyse se penchera sur les secteurs pertinents pour les LGR, notamment l</w:t>
      </w:r>
      <w:r w:rsidR="00AE4BC5">
        <w:rPr>
          <w:rFonts w:ascii="Arial" w:hAnsi="Arial"/>
        </w:rPr>
        <w:t>’</w:t>
      </w:r>
      <w:r>
        <w:rPr>
          <w:rFonts w:ascii="Arial" w:hAnsi="Arial"/>
        </w:rPr>
        <w:t>agriculture, l</w:t>
      </w:r>
      <w:r w:rsidR="00AE4BC5">
        <w:rPr>
          <w:rFonts w:ascii="Arial" w:hAnsi="Arial"/>
        </w:rPr>
        <w:t>’</w:t>
      </w:r>
      <w:r>
        <w:rPr>
          <w:rFonts w:ascii="Arial" w:hAnsi="Arial"/>
        </w:rPr>
        <w:t>environnement et les ressources naturelles, l</w:t>
      </w:r>
      <w:r w:rsidR="00AE4BC5">
        <w:rPr>
          <w:rFonts w:ascii="Arial" w:hAnsi="Arial"/>
        </w:rPr>
        <w:t>’</w:t>
      </w:r>
      <w:r>
        <w:rPr>
          <w:rFonts w:ascii="Arial" w:hAnsi="Arial"/>
        </w:rPr>
        <w:t>égalité des sexes et la planification, entre autres, en soulignant les structures, les institutions et les parties prenantes qui façonnent ces secteurs dans chaque comté.</w:t>
      </w:r>
    </w:p>
    <w:p w14:paraId="394C14E3" w14:textId="5F0D8934" w:rsidR="00E32B3A" w:rsidRPr="0072267E" w:rsidRDefault="00E32B3A" w:rsidP="001278B3">
      <w:pPr>
        <w:numPr>
          <w:ilvl w:val="0"/>
          <w:numId w:val="36"/>
        </w:numPr>
        <w:spacing w:after="0" w:line="240" w:lineRule="auto"/>
        <w:rPr>
          <w:rFonts w:ascii="Arial" w:hAnsi="Arial" w:cs="Arial"/>
        </w:rPr>
      </w:pPr>
      <w:r>
        <w:rPr>
          <w:rFonts w:ascii="Arial" w:hAnsi="Arial"/>
          <w:u w:val="single"/>
        </w:rPr>
        <w:t>Gouvernement régional</w:t>
      </w:r>
      <w:r w:rsidR="00AE4BC5">
        <w:rPr>
          <w:rFonts w:ascii="Arial" w:hAnsi="Arial"/>
          <w:u w:val="single"/>
        </w:rPr>
        <w:t> </w:t>
      </w:r>
      <w:r>
        <w:rPr>
          <w:rFonts w:ascii="Arial" w:hAnsi="Arial"/>
        </w:rPr>
        <w:t>: Une analyse des facteurs spécifiques qui différencient la région et affectent les perspectives de développement du secteur.</w:t>
      </w:r>
    </w:p>
    <w:p w14:paraId="36CA1FC2" w14:textId="2262C986" w:rsidR="00E32B3A" w:rsidRPr="0072267E" w:rsidRDefault="00E32B3A" w:rsidP="001278B3">
      <w:pPr>
        <w:numPr>
          <w:ilvl w:val="0"/>
          <w:numId w:val="36"/>
        </w:numPr>
        <w:spacing w:line="240" w:lineRule="auto"/>
        <w:rPr>
          <w:rFonts w:ascii="Arial" w:hAnsi="Arial" w:cs="Arial"/>
        </w:rPr>
      </w:pPr>
      <w:r>
        <w:rPr>
          <w:rFonts w:ascii="Arial" w:hAnsi="Arial"/>
          <w:u w:val="single"/>
        </w:rPr>
        <w:t>Analyse des problèmes et des opportunités</w:t>
      </w:r>
      <w:r w:rsidR="00AE4BC5">
        <w:rPr>
          <w:rFonts w:ascii="Arial" w:hAnsi="Arial"/>
          <w:u w:val="single"/>
        </w:rPr>
        <w:t> </w:t>
      </w:r>
      <w:r>
        <w:rPr>
          <w:rFonts w:ascii="Arial" w:hAnsi="Arial"/>
        </w:rPr>
        <w:t>: Identification des goulets d</w:t>
      </w:r>
      <w:r w:rsidR="00AE4BC5">
        <w:rPr>
          <w:rFonts w:ascii="Arial" w:hAnsi="Arial"/>
        </w:rPr>
        <w:t>’</w:t>
      </w:r>
      <w:r>
        <w:rPr>
          <w:rFonts w:ascii="Arial" w:hAnsi="Arial"/>
        </w:rPr>
        <w:t>étranglement et des opportunités liées à l</w:t>
      </w:r>
      <w:r w:rsidR="00AE4BC5">
        <w:rPr>
          <w:rFonts w:ascii="Arial" w:hAnsi="Arial"/>
        </w:rPr>
        <w:t>’</w:t>
      </w:r>
      <w:r>
        <w:rPr>
          <w:rFonts w:ascii="Arial" w:hAnsi="Arial"/>
        </w:rPr>
        <w:t>économie politique pour améliorer le bien-être de la communauté, en particulier les aspects institutionnels et la dynamique du pouvoir.</w:t>
      </w:r>
    </w:p>
    <w:p w14:paraId="5114303B" w14:textId="42D9DC37" w:rsidR="00E32B3A" w:rsidRPr="0072267E" w:rsidRDefault="00E32B3A" w:rsidP="001278B3">
      <w:pPr>
        <w:spacing w:line="240" w:lineRule="auto"/>
        <w:rPr>
          <w:rFonts w:ascii="Arial" w:hAnsi="Arial" w:cs="Arial"/>
          <w:u w:val="single"/>
        </w:rPr>
      </w:pPr>
      <w:r>
        <w:rPr>
          <w:rFonts w:ascii="Arial" w:hAnsi="Arial"/>
          <w:u w:val="single"/>
        </w:rPr>
        <w:t>Champ d</w:t>
      </w:r>
      <w:r w:rsidR="00AE4BC5">
        <w:rPr>
          <w:rFonts w:ascii="Arial" w:hAnsi="Arial"/>
          <w:u w:val="single"/>
        </w:rPr>
        <w:t>’</w:t>
      </w:r>
      <w:r>
        <w:rPr>
          <w:rFonts w:ascii="Arial" w:hAnsi="Arial"/>
          <w:u w:val="single"/>
        </w:rPr>
        <w:t>application détaillé du PEA</w:t>
      </w:r>
    </w:p>
    <w:p w14:paraId="0E8B2ED7" w14:textId="75B1AB67" w:rsidR="00E32B3A" w:rsidRPr="0072267E" w:rsidRDefault="00E32B3A" w:rsidP="001278B3">
      <w:pPr>
        <w:numPr>
          <w:ilvl w:val="0"/>
          <w:numId w:val="35"/>
        </w:numPr>
        <w:spacing w:after="0" w:line="240" w:lineRule="auto"/>
        <w:rPr>
          <w:rFonts w:ascii="Arial" w:hAnsi="Arial" w:cs="Arial"/>
        </w:rPr>
      </w:pPr>
      <w:r>
        <w:rPr>
          <w:rFonts w:ascii="Arial" w:hAnsi="Arial"/>
          <w:u w:val="single"/>
        </w:rPr>
        <w:t>Environnement structurel et favorable</w:t>
      </w:r>
      <w:r w:rsidR="00AE4BC5">
        <w:rPr>
          <w:rFonts w:ascii="Arial" w:hAnsi="Arial"/>
          <w:u w:val="single"/>
        </w:rPr>
        <w:t> </w:t>
      </w:r>
      <w:r>
        <w:rPr>
          <w:rFonts w:ascii="Arial" w:hAnsi="Arial"/>
        </w:rPr>
        <w:t>: Facteurs contextuels à long terme pertinents pour la trajectoire de développement du pays, qui ne sont pas susceptibles d</w:t>
      </w:r>
      <w:r w:rsidR="00AE4BC5">
        <w:rPr>
          <w:rFonts w:ascii="Arial" w:hAnsi="Arial"/>
        </w:rPr>
        <w:t>’</w:t>
      </w:r>
      <w:r>
        <w:rPr>
          <w:rFonts w:ascii="Arial" w:hAnsi="Arial"/>
        </w:rPr>
        <w:t>être facilement influencés, soit en raison de l</w:t>
      </w:r>
      <w:r w:rsidR="00AE4BC5">
        <w:rPr>
          <w:rFonts w:ascii="Arial" w:hAnsi="Arial"/>
        </w:rPr>
        <w:t>’</w:t>
      </w:r>
      <w:r>
        <w:rPr>
          <w:rFonts w:ascii="Arial" w:hAnsi="Arial"/>
        </w:rPr>
        <w:t>échelle de temps nécessaire, soit parce qu</w:t>
      </w:r>
      <w:r w:rsidR="00AE4BC5">
        <w:rPr>
          <w:rFonts w:ascii="Arial" w:hAnsi="Arial"/>
        </w:rPr>
        <w:t>’</w:t>
      </w:r>
      <w:r>
        <w:rPr>
          <w:rFonts w:ascii="Arial" w:hAnsi="Arial"/>
        </w:rPr>
        <w:t>ils sont déterminés à l</w:t>
      </w:r>
      <w:r w:rsidR="00AE4BC5">
        <w:rPr>
          <w:rFonts w:ascii="Arial" w:hAnsi="Arial"/>
        </w:rPr>
        <w:t>’</w:t>
      </w:r>
      <w:r>
        <w:rPr>
          <w:rFonts w:ascii="Arial" w:hAnsi="Arial"/>
        </w:rPr>
        <w:t>extérieur du pays et/ou de la région. Il peut s</w:t>
      </w:r>
      <w:r w:rsidR="00AE4BC5">
        <w:rPr>
          <w:rFonts w:ascii="Arial" w:hAnsi="Arial"/>
        </w:rPr>
        <w:t>’</w:t>
      </w:r>
      <w:r>
        <w:rPr>
          <w:rFonts w:ascii="Arial" w:hAnsi="Arial"/>
        </w:rPr>
        <w:t>agir de structures et de normes économiques et sociales, d</w:t>
      </w:r>
      <w:r w:rsidR="00AE4BC5">
        <w:rPr>
          <w:rFonts w:ascii="Arial" w:hAnsi="Arial"/>
        </w:rPr>
        <w:t>’</w:t>
      </w:r>
      <w:r>
        <w:rPr>
          <w:rFonts w:ascii="Arial" w:hAnsi="Arial"/>
        </w:rPr>
        <w:t>une position géostratégique, d</w:t>
      </w:r>
      <w:r w:rsidR="00AE4BC5">
        <w:rPr>
          <w:rFonts w:ascii="Arial" w:hAnsi="Arial"/>
        </w:rPr>
        <w:t>’</w:t>
      </w:r>
      <w:r>
        <w:rPr>
          <w:rFonts w:ascii="Arial" w:hAnsi="Arial"/>
        </w:rPr>
        <w:t>une dotation en ressources naturelles, d</w:t>
      </w:r>
      <w:r w:rsidR="00AE4BC5">
        <w:rPr>
          <w:rFonts w:ascii="Arial" w:hAnsi="Arial"/>
        </w:rPr>
        <w:t>’</w:t>
      </w:r>
      <w:r>
        <w:rPr>
          <w:rFonts w:ascii="Arial" w:hAnsi="Arial"/>
        </w:rPr>
        <w:t>une évolution démographique, d</w:t>
      </w:r>
      <w:r w:rsidR="00AE4BC5">
        <w:rPr>
          <w:rFonts w:ascii="Arial" w:hAnsi="Arial"/>
        </w:rPr>
        <w:t>’</w:t>
      </w:r>
      <w:r>
        <w:rPr>
          <w:rFonts w:ascii="Arial" w:hAnsi="Arial"/>
        </w:rPr>
        <w:t>un changement climatique et d</w:t>
      </w:r>
      <w:r w:rsidR="00AE4BC5">
        <w:rPr>
          <w:rFonts w:ascii="Arial" w:hAnsi="Arial"/>
        </w:rPr>
        <w:t>’</w:t>
      </w:r>
      <w:r>
        <w:rPr>
          <w:rFonts w:ascii="Arial" w:hAnsi="Arial"/>
        </w:rPr>
        <w:t>un contexte de conflit ou d</w:t>
      </w:r>
      <w:r w:rsidR="00AE4BC5">
        <w:rPr>
          <w:rFonts w:ascii="Arial" w:hAnsi="Arial"/>
        </w:rPr>
        <w:t>’</w:t>
      </w:r>
      <w:r>
        <w:rPr>
          <w:rFonts w:ascii="Arial" w:hAnsi="Arial"/>
        </w:rPr>
        <w:t>après-conflit.</w:t>
      </w:r>
    </w:p>
    <w:p w14:paraId="21A5390C" w14:textId="5A7FBD4E" w:rsidR="00E32B3A" w:rsidRPr="0072267E" w:rsidRDefault="00E32B3A" w:rsidP="001278B3">
      <w:pPr>
        <w:numPr>
          <w:ilvl w:val="0"/>
          <w:numId w:val="35"/>
        </w:numPr>
        <w:spacing w:after="0" w:line="240" w:lineRule="auto"/>
        <w:rPr>
          <w:rFonts w:ascii="Arial" w:hAnsi="Arial" w:cs="Arial"/>
        </w:rPr>
      </w:pPr>
      <w:r>
        <w:rPr>
          <w:rFonts w:ascii="Arial" w:hAnsi="Arial"/>
          <w:u w:val="single"/>
        </w:rPr>
        <w:t>Économie politique</w:t>
      </w:r>
      <w:r w:rsidR="00AE4BC5">
        <w:rPr>
          <w:rFonts w:ascii="Arial" w:hAnsi="Arial"/>
        </w:rPr>
        <w:t> </w:t>
      </w:r>
      <w:r>
        <w:rPr>
          <w:rFonts w:ascii="Arial" w:hAnsi="Arial"/>
        </w:rPr>
        <w:t>: Le rôle que jouent les institutions économiques, politiques et sociales formelles et informelles (par exemple, l</w:t>
      </w:r>
      <w:r w:rsidR="00AE4BC5">
        <w:rPr>
          <w:rFonts w:ascii="Arial" w:hAnsi="Arial"/>
        </w:rPr>
        <w:t>’</w:t>
      </w:r>
      <w:r>
        <w:rPr>
          <w:rFonts w:ascii="Arial" w:hAnsi="Arial"/>
        </w:rPr>
        <w:t>État de droit, les élections, les normes, valeurs et idées sociales, politiques et culturelles, les marchés) dans l</w:t>
      </w:r>
      <w:r w:rsidR="00AE4BC5">
        <w:rPr>
          <w:rFonts w:ascii="Arial" w:hAnsi="Arial"/>
        </w:rPr>
        <w:t>’</w:t>
      </w:r>
      <w:r>
        <w:rPr>
          <w:rFonts w:ascii="Arial" w:hAnsi="Arial"/>
        </w:rPr>
        <w:t>interaction humaine et la concurrence pour le pouvoir et les ressources. Il convient également d</w:t>
      </w:r>
      <w:r w:rsidR="00AE4BC5">
        <w:rPr>
          <w:rFonts w:ascii="Arial" w:hAnsi="Arial"/>
        </w:rPr>
        <w:t>’</w:t>
      </w:r>
      <w:r>
        <w:rPr>
          <w:rFonts w:ascii="Arial" w:hAnsi="Arial"/>
        </w:rPr>
        <w:t xml:space="preserve">examiner les capacités et les pratiques des gouvernements des comtés, ainsi que les intérêts politiques qui influencent la manière dont ils se sont constitués. </w:t>
      </w:r>
    </w:p>
    <w:p w14:paraId="5A8A46AB" w14:textId="78A81E75" w:rsidR="00E32B3A" w:rsidRPr="0072267E" w:rsidRDefault="00E32B3A" w:rsidP="001278B3">
      <w:pPr>
        <w:numPr>
          <w:ilvl w:val="0"/>
          <w:numId w:val="35"/>
        </w:numPr>
        <w:spacing w:after="0" w:line="240" w:lineRule="auto"/>
        <w:rPr>
          <w:rFonts w:ascii="Arial" w:hAnsi="Arial" w:cs="Arial"/>
        </w:rPr>
      </w:pPr>
      <w:r>
        <w:rPr>
          <w:rFonts w:ascii="Arial" w:hAnsi="Arial"/>
          <w:u w:val="single"/>
        </w:rPr>
        <w:t>Analyse de la puissance</w:t>
      </w:r>
      <w:r w:rsidR="00AE4BC5">
        <w:rPr>
          <w:rFonts w:ascii="Arial" w:hAnsi="Arial"/>
        </w:rPr>
        <w:t> </w:t>
      </w:r>
      <w:r>
        <w:rPr>
          <w:rFonts w:ascii="Arial" w:hAnsi="Arial"/>
        </w:rPr>
        <w:t>: Qui a du pouvoir et de l</w:t>
      </w:r>
      <w:r w:rsidR="00AE4BC5">
        <w:rPr>
          <w:rFonts w:ascii="Arial" w:hAnsi="Arial"/>
        </w:rPr>
        <w:t>’</w:t>
      </w:r>
      <w:r>
        <w:rPr>
          <w:rFonts w:ascii="Arial" w:hAnsi="Arial"/>
        </w:rPr>
        <w:t xml:space="preserve">influence dans la </w:t>
      </w:r>
      <w:r w:rsidR="007F6BE7">
        <w:rPr>
          <w:rFonts w:ascii="Arial" w:hAnsi="Arial"/>
        </w:rPr>
        <w:t>S</w:t>
      </w:r>
      <w:r>
        <w:rPr>
          <w:rFonts w:ascii="Arial" w:hAnsi="Arial"/>
        </w:rPr>
        <w:t>ociété (comté/communauté/acteurs locaux, par exemple l</w:t>
      </w:r>
      <w:r w:rsidR="00AE4BC5">
        <w:rPr>
          <w:rFonts w:ascii="Arial" w:hAnsi="Arial"/>
        </w:rPr>
        <w:t>’</w:t>
      </w:r>
      <w:r>
        <w:rPr>
          <w:rFonts w:ascii="Arial" w:hAnsi="Arial"/>
        </w:rPr>
        <w:t>Église/le secteur privé, etc.), et comment cela se manifeste-t-il dans la manière dont les décisions sont prises</w:t>
      </w:r>
      <w:r w:rsidR="00AE4BC5">
        <w:rPr>
          <w:rFonts w:ascii="Arial" w:hAnsi="Arial"/>
        </w:rPr>
        <w:t> </w:t>
      </w:r>
      <w:r>
        <w:rPr>
          <w:rFonts w:ascii="Arial" w:hAnsi="Arial"/>
        </w:rPr>
        <w:t xml:space="preserve">? </w:t>
      </w:r>
    </w:p>
    <w:p w14:paraId="05C5E8A3" w14:textId="77777777" w:rsidR="00E32B3A" w:rsidRPr="0072267E" w:rsidRDefault="00E32B3A" w:rsidP="001278B3">
      <w:pPr>
        <w:numPr>
          <w:ilvl w:val="1"/>
          <w:numId w:val="35"/>
        </w:numPr>
        <w:spacing w:after="0" w:line="240" w:lineRule="auto"/>
        <w:rPr>
          <w:rFonts w:ascii="Arial" w:hAnsi="Arial" w:cs="Arial"/>
        </w:rPr>
      </w:pPr>
      <w:r>
        <w:rPr>
          <w:rFonts w:ascii="Arial" w:hAnsi="Arial"/>
        </w:rPr>
        <w:lastRenderedPageBreak/>
        <w:t>Identifier les acteurs les plus influents, quels sont leurs intérêts et leurs motivations, et comment ceux-ci façonnent la dynamique générale des secteurs, y compris la faisabilité des réformes politiques dans les secteurs.</w:t>
      </w:r>
    </w:p>
    <w:p w14:paraId="147A78E1" w14:textId="64A57573" w:rsidR="00E32B3A" w:rsidRPr="0072267E" w:rsidRDefault="00E32B3A" w:rsidP="001278B3">
      <w:pPr>
        <w:numPr>
          <w:ilvl w:val="1"/>
          <w:numId w:val="35"/>
        </w:numPr>
        <w:spacing w:after="0" w:line="240" w:lineRule="auto"/>
        <w:rPr>
          <w:rFonts w:ascii="Arial" w:hAnsi="Arial" w:cs="Arial"/>
        </w:rPr>
      </w:pPr>
      <w:r>
        <w:rPr>
          <w:rFonts w:ascii="Arial" w:hAnsi="Arial"/>
        </w:rPr>
        <w:t>Étudier la meilleure façon d</w:t>
      </w:r>
      <w:r w:rsidR="00AE4BC5">
        <w:rPr>
          <w:rFonts w:ascii="Arial" w:hAnsi="Arial"/>
        </w:rPr>
        <w:t>’</w:t>
      </w:r>
      <w:r>
        <w:rPr>
          <w:rFonts w:ascii="Arial" w:hAnsi="Arial"/>
        </w:rPr>
        <w:t xml:space="preserve">impliquer les acteurs influents/les courtiers en pouvoir, y compris les meilleurs points.  </w:t>
      </w:r>
    </w:p>
    <w:p w14:paraId="397C040A" w14:textId="366ABB85" w:rsidR="00E32B3A" w:rsidRPr="0072267E" w:rsidRDefault="00E32B3A" w:rsidP="001278B3">
      <w:pPr>
        <w:numPr>
          <w:ilvl w:val="0"/>
          <w:numId w:val="35"/>
        </w:numPr>
        <w:spacing w:after="0" w:line="240" w:lineRule="auto"/>
        <w:rPr>
          <w:rFonts w:ascii="Arial" w:hAnsi="Arial" w:cs="Arial"/>
        </w:rPr>
      </w:pPr>
      <w:r>
        <w:rPr>
          <w:rFonts w:ascii="Arial" w:hAnsi="Arial"/>
          <w:u w:val="single"/>
        </w:rPr>
        <w:t>Évaluation des capacités institutionnelles des gouvernements de comté</w:t>
      </w:r>
      <w:r w:rsidR="00AE4BC5">
        <w:rPr>
          <w:rFonts w:ascii="Arial" w:hAnsi="Arial"/>
        </w:rPr>
        <w:t> </w:t>
      </w:r>
      <w:r>
        <w:rPr>
          <w:rFonts w:ascii="Arial" w:hAnsi="Arial"/>
        </w:rPr>
        <w:t>: Quelles sont les forces et les faiblesses de chaque gouvernement de comté et de ses départements en termes de performance et de capacité</w:t>
      </w:r>
      <w:r w:rsidR="00AE4BC5">
        <w:rPr>
          <w:rFonts w:ascii="Arial" w:hAnsi="Arial"/>
        </w:rPr>
        <w:t> </w:t>
      </w:r>
      <w:r>
        <w:rPr>
          <w:rFonts w:ascii="Arial" w:hAnsi="Arial"/>
        </w:rPr>
        <w:t>? Qu</w:t>
      </w:r>
      <w:r w:rsidR="00AE4BC5">
        <w:rPr>
          <w:rFonts w:ascii="Arial" w:hAnsi="Arial"/>
        </w:rPr>
        <w:t>’</w:t>
      </w:r>
      <w:r>
        <w:rPr>
          <w:rFonts w:ascii="Arial" w:hAnsi="Arial"/>
        </w:rPr>
        <w:t>est-ce qui fonctionne bien et qu</w:t>
      </w:r>
      <w:r w:rsidR="00AE4BC5">
        <w:rPr>
          <w:rFonts w:ascii="Arial" w:hAnsi="Arial"/>
        </w:rPr>
        <w:t>’</w:t>
      </w:r>
      <w:r>
        <w:rPr>
          <w:rFonts w:ascii="Arial" w:hAnsi="Arial"/>
        </w:rPr>
        <w:t>est-ce qui nécessite des investissements et des améliorations</w:t>
      </w:r>
      <w:r w:rsidR="00AE4BC5">
        <w:rPr>
          <w:rFonts w:ascii="Arial" w:hAnsi="Arial"/>
        </w:rPr>
        <w:t> </w:t>
      </w:r>
      <w:r>
        <w:rPr>
          <w:rFonts w:ascii="Arial" w:hAnsi="Arial"/>
        </w:rPr>
        <w:t xml:space="preserve">? Détailler les aspects de la planification générale du comté, de la budgétisation et de la mise en œuvre (prestation de services), mais aussi la coordination des plans et programmes sectoriels pertinents pour les plans de développement plus larges du comté. </w:t>
      </w:r>
    </w:p>
    <w:p w14:paraId="65B3C53A" w14:textId="60A26212" w:rsidR="00E32B3A" w:rsidRPr="0072267E" w:rsidRDefault="00E32B3A" w:rsidP="001278B3">
      <w:pPr>
        <w:numPr>
          <w:ilvl w:val="0"/>
          <w:numId w:val="35"/>
        </w:numPr>
        <w:spacing w:after="0" w:line="240" w:lineRule="auto"/>
        <w:rPr>
          <w:rFonts w:ascii="Arial" w:hAnsi="Arial" w:cs="Arial"/>
        </w:rPr>
      </w:pPr>
      <w:r>
        <w:rPr>
          <w:rFonts w:ascii="Arial" w:hAnsi="Arial"/>
          <w:u w:val="single"/>
        </w:rPr>
        <w:t>Gestion des ressources naturelles</w:t>
      </w:r>
      <w:r w:rsidR="00AE4BC5">
        <w:rPr>
          <w:rFonts w:ascii="Arial" w:hAnsi="Arial"/>
          <w:u w:val="single"/>
        </w:rPr>
        <w:t> </w:t>
      </w:r>
      <w:r>
        <w:rPr>
          <w:rFonts w:ascii="Arial" w:hAnsi="Arial"/>
          <w:u w:val="single"/>
        </w:rPr>
        <w:t>:</w:t>
      </w:r>
      <w:r>
        <w:rPr>
          <w:rFonts w:ascii="Arial" w:hAnsi="Arial"/>
        </w:rPr>
        <w:t xml:space="preserve"> Comment les principes clés de la GRN sont-ils appliqués dans les comtés, à savoir la légitimité, la transparence, la responsabilité, l</w:t>
      </w:r>
      <w:r w:rsidR="00AE4BC5">
        <w:rPr>
          <w:rFonts w:ascii="Arial" w:hAnsi="Arial"/>
        </w:rPr>
        <w:t>’</w:t>
      </w:r>
      <w:r>
        <w:rPr>
          <w:rFonts w:ascii="Arial" w:hAnsi="Arial"/>
        </w:rPr>
        <w:t>inclusivité, l</w:t>
      </w:r>
      <w:r w:rsidR="00AE4BC5">
        <w:rPr>
          <w:rFonts w:ascii="Arial" w:hAnsi="Arial"/>
        </w:rPr>
        <w:t>’</w:t>
      </w:r>
      <w:r>
        <w:rPr>
          <w:rFonts w:ascii="Arial" w:hAnsi="Arial"/>
        </w:rPr>
        <w:t>équité, l</w:t>
      </w:r>
      <w:r w:rsidR="00AE4BC5">
        <w:rPr>
          <w:rFonts w:ascii="Arial" w:hAnsi="Arial"/>
        </w:rPr>
        <w:t>’</w:t>
      </w:r>
      <w:r>
        <w:rPr>
          <w:rFonts w:ascii="Arial" w:hAnsi="Arial"/>
        </w:rPr>
        <w:t>intégration, la capacité et l</w:t>
      </w:r>
      <w:r w:rsidR="00AE4BC5">
        <w:rPr>
          <w:rFonts w:ascii="Arial" w:hAnsi="Arial"/>
        </w:rPr>
        <w:t>’</w:t>
      </w:r>
      <w:r>
        <w:rPr>
          <w:rFonts w:ascii="Arial" w:hAnsi="Arial"/>
        </w:rPr>
        <w:t>adaptabilité</w:t>
      </w:r>
      <w:r w:rsidR="00AE4BC5">
        <w:rPr>
          <w:rFonts w:ascii="Arial" w:hAnsi="Arial"/>
        </w:rPr>
        <w:t> </w:t>
      </w:r>
      <w:r>
        <w:rPr>
          <w:rFonts w:ascii="Arial" w:hAnsi="Arial"/>
          <w:color w:val="222222"/>
          <w:sz w:val="24"/>
          <w:highlight w:val="white"/>
        </w:rPr>
        <w:t>?</w:t>
      </w:r>
    </w:p>
    <w:p w14:paraId="3CA23ADB" w14:textId="1F95BB13" w:rsidR="00E32B3A" w:rsidRPr="0072267E" w:rsidRDefault="00E32B3A" w:rsidP="001278B3">
      <w:pPr>
        <w:numPr>
          <w:ilvl w:val="1"/>
          <w:numId w:val="35"/>
        </w:numPr>
        <w:spacing w:after="0" w:line="240" w:lineRule="auto"/>
        <w:rPr>
          <w:rFonts w:ascii="Arial" w:hAnsi="Arial" w:cs="Arial"/>
          <w:color w:val="222222"/>
          <w:sz w:val="24"/>
          <w:szCs w:val="24"/>
          <w:highlight w:val="white"/>
        </w:rPr>
      </w:pPr>
      <w:r>
        <w:rPr>
          <w:rFonts w:ascii="Arial" w:hAnsi="Arial"/>
        </w:rPr>
        <w:t>Identifier les goulets d</w:t>
      </w:r>
      <w:r w:rsidR="00AE4BC5">
        <w:rPr>
          <w:rFonts w:ascii="Arial" w:hAnsi="Arial"/>
        </w:rPr>
        <w:t>’</w:t>
      </w:r>
      <w:r>
        <w:rPr>
          <w:rFonts w:ascii="Arial" w:hAnsi="Arial"/>
        </w:rPr>
        <w:t>étranglement et les contraintes d</w:t>
      </w:r>
      <w:r w:rsidR="00AE4BC5">
        <w:rPr>
          <w:rFonts w:ascii="Arial" w:hAnsi="Arial"/>
        </w:rPr>
        <w:t>’</w:t>
      </w:r>
      <w:r>
        <w:rPr>
          <w:rFonts w:ascii="Arial" w:hAnsi="Arial"/>
        </w:rPr>
        <w:t>une GRN efficace, tant au niveau gouvernemental que communautaire</w:t>
      </w:r>
      <w:r>
        <w:rPr>
          <w:rFonts w:ascii="Arial" w:hAnsi="Arial"/>
          <w:color w:val="222222"/>
          <w:sz w:val="24"/>
          <w:highlight w:val="white"/>
        </w:rPr>
        <w:t>.</w:t>
      </w:r>
    </w:p>
    <w:p w14:paraId="36B8B5E8" w14:textId="4E368E56" w:rsidR="00E32B3A" w:rsidRPr="0072267E" w:rsidRDefault="00E32B3A" w:rsidP="001278B3">
      <w:pPr>
        <w:numPr>
          <w:ilvl w:val="1"/>
          <w:numId w:val="35"/>
        </w:numPr>
        <w:pBdr>
          <w:top w:val="nil"/>
          <w:left w:val="nil"/>
          <w:bottom w:val="nil"/>
          <w:right w:val="nil"/>
          <w:between w:val="nil"/>
        </w:pBdr>
        <w:spacing w:after="0" w:line="240" w:lineRule="auto"/>
        <w:rPr>
          <w:rFonts w:ascii="Arial" w:hAnsi="Arial" w:cs="Arial"/>
          <w:color w:val="222222"/>
          <w:sz w:val="24"/>
          <w:szCs w:val="24"/>
          <w:highlight w:val="white"/>
        </w:rPr>
      </w:pPr>
      <w:r>
        <w:rPr>
          <w:rFonts w:ascii="Arial" w:hAnsi="Arial"/>
        </w:rPr>
        <w:t>Analyser qui, parmi les acteurs du comté, représente des obstacles à des réformes foncières inclusives et basées sur les citoyens</w:t>
      </w:r>
      <w:r w:rsidR="00AE4BC5">
        <w:rPr>
          <w:rFonts w:ascii="Arial" w:hAnsi="Arial"/>
        </w:rPr>
        <w:t> </w:t>
      </w:r>
      <w:r>
        <w:rPr>
          <w:rFonts w:ascii="Arial" w:hAnsi="Arial"/>
        </w:rPr>
        <w:t>?</w:t>
      </w:r>
    </w:p>
    <w:p w14:paraId="672750A8" w14:textId="1DFF4931" w:rsidR="00E32B3A" w:rsidRPr="0072267E" w:rsidRDefault="00E32B3A" w:rsidP="001278B3">
      <w:pPr>
        <w:numPr>
          <w:ilvl w:val="1"/>
          <w:numId w:val="35"/>
        </w:numPr>
        <w:pBdr>
          <w:top w:val="nil"/>
          <w:left w:val="nil"/>
          <w:bottom w:val="nil"/>
          <w:right w:val="nil"/>
          <w:between w:val="nil"/>
        </w:pBdr>
        <w:spacing w:after="0" w:line="240" w:lineRule="auto"/>
        <w:rPr>
          <w:rFonts w:ascii="Arial" w:hAnsi="Arial" w:cs="Arial"/>
          <w:color w:val="222222"/>
          <w:sz w:val="24"/>
          <w:szCs w:val="24"/>
          <w:highlight w:val="white"/>
        </w:rPr>
      </w:pPr>
      <w:r>
        <w:rPr>
          <w:rFonts w:ascii="Arial" w:hAnsi="Arial"/>
        </w:rPr>
        <w:t>Identifier les exemples de bonnes pratiques lorsqu</w:t>
      </w:r>
      <w:r w:rsidR="00AE4BC5">
        <w:rPr>
          <w:rFonts w:ascii="Arial" w:hAnsi="Arial"/>
        </w:rPr>
        <w:t>’</w:t>
      </w:r>
      <w:r>
        <w:rPr>
          <w:rFonts w:ascii="Arial" w:hAnsi="Arial"/>
        </w:rPr>
        <w:t>ils existent et faire des recommandations pertinentes tirées des enseignements pour une application contextuelle ou proposer des bonnes pratiques.</w:t>
      </w:r>
    </w:p>
    <w:p w14:paraId="53195460" w14:textId="2807E83F" w:rsidR="00BB0030" w:rsidRPr="0072267E" w:rsidRDefault="00E32B3A" w:rsidP="001278B3">
      <w:pPr>
        <w:numPr>
          <w:ilvl w:val="1"/>
          <w:numId w:val="35"/>
        </w:numPr>
        <w:pBdr>
          <w:top w:val="nil"/>
          <w:left w:val="nil"/>
          <w:bottom w:val="nil"/>
          <w:right w:val="nil"/>
          <w:between w:val="nil"/>
        </w:pBdr>
        <w:spacing w:after="0" w:line="240" w:lineRule="auto"/>
        <w:rPr>
          <w:rFonts w:ascii="Arial" w:hAnsi="Arial" w:cs="Arial"/>
          <w:highlight w:val="white"/>
        </w:rPr>
      </w:pPr>
      <w:r>
        <w:rPr>
          <w:rFonts w:ascii="Arial" w:hAnsi="Arial"/>
          <w:highlight w:val="white"/>
        </w:rPr>
        <w:t>Quelles sont les institutions formelles et informelles qui existent dans le cadre du NMR</w:t>
      </w:r>
      <w:r w:rsidR="00AE4BC5">
        <w:rPr>
          <w:rFonts w:ascii="Arial" w:hAnsi="Arial"/>
          <w:highlight w:val="white"/>
        </w:rPr>
        <w:t> </w:t>
      </w:r>
      <w:r>
        <w:rPr>
          <w:rFonts w:ascii="Arial" w:hAnsi="Arial"/>
          <w:highlight w:val="white"/>
        </w:rPr>
        <w:t>? Ont-ils un mandat clairement défini et reconnu</w:t>
      </w:r>
      <w:r w:rsidR="00AE4BC5">
        <w:rPr>
          <w:rFonts w:ascii="Arial" w:hAnsi="Arial"/>
          <w:highlight w:val="white"/>
        </w:rPr>
        <w:t> </w:t>
      </w:r>
      <w:r>
        <w:rPr>
          <w:rFonts w:ascii="Arial" w:hAnsi="Arial"/>
          <w:highlight w:val="white"/>
        </w:rPr>
        <w:t>? Quelles sont leurs relations les uns avec les autres (communauté et gouvernement), avec leurs voisins</w:t>
      </w:r>
      <w:r w:rsidR="00AE4BC5">
        <w:rPr>
          <w:rFonts w:ascii="Arial" w:hAnsi="Arial"/>
          <w:highlight w:val="white"/>
        </w:rPr>
        <w:t> </w:t>
      </w:r>
      <w:r>
        <w:rPr>
          <w:rFonts w:ascii="Arial" w:hAnsi="Arial"/>
          <w:highlight w:val="white"/>
        </w:rPr>
        <w:t xml:space="preserve">? </w:t>
      </w:r>
    </w:p>
    <w:p w14:paraId="59491C1D" w14:textId="66B3ECEE" w:rsidR="00124831" w:rsidRPr="0072267E" w:rsidRDefault="00124831" w:rsidP="001278B3">
      <w:pPr>
        <w:pBdr>
          <w:top w:val="nil"/>
          <w:left w:val="nil"/>
          <w:bottom w:val="nil"/>
          <w:right w:val="nil"/>
          <w:between w:val="nil"/>
        </w:pBdr>
        <w:spacing w:after="0" w:line="240" w:lineRule="auto"/>
        <w:jc w:val="both"/>
        <w:rPr>
          <w:rFonts w:ascii="Arial" w:hAnsi="Arial" w:cs="Arial"/>
          <w:color w:val="000000"/>
        </w:rPr>
      </w:pPr>
    </w:p>
    <w:p w14:paraId="2A485563" w14:textId="152F6559" w:rsidR="00124831" w:rsidRPr="0072267E" w:rsidRDefault="00124831" w:rsidP="001278B3">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72267E" w:rsidRDefault="002C7815" w:rsidP="001278B3">
      <w:pPr>
        <w:numPr>
          <w:ilvl w:val="0"/>
          <w:numId w:val="18"/>
        </w:numPr>
        <w:pBdr>
          <w:top w:val="nil"/>
          <w:left w:val="nil"/>
          <w:bottom w:val="nil"/>
          <w:right w:val="nil"/>
          <w:between w:val="nil"/>
        </w:pBdr>
        <w:spacing w:after="0" w:line="240" w:lineRule="auto"/>
        <w:jc w:val="both"/>
        <w:rPr>
          <w:rFonts w:ascii="Arial" w:hAnsi="Arial" w:cs="Arial"/>
          <w:b/>
        </w:rPr>
      </w:pPr>
      <w:r>
        <w:rPr>
          <w:rFonts w:ascii="Arial" w:hAnsi="Arial"/>
          <w:b/>
          <w:color w:val="000000"/>
        </w:rPr>
        <w:t>Méthodologie</w:t>
      </w:r>
    </w:p>
    <w:p w14:paraId="20C13C81" w14:textId="77777777" w:rsidR="002C7815" w:rsidRPr="0072267E" w:rsidRDefault="002C7815" w:rsidP="001278B3">
      <w:pPr>
        <w:pBdr>
          <w:top w:val="nil"/>
          <w:left w:val="nil"/>
          <w:bottom w:val="nil"/>
          <w:right w:val="nil"/>
          <w:between w:val="nil"/>
        </w:pBdr>
        <w:spacing w:after="0" w:line="240" w:lineRule="auto"/>
        <w:ind w:left="720"/>
        <w:jc w:val="both"/>
        <w:rPr>
          <w:rFonts w:ascii="Arial" w:hAnsi="Arial" w:cs="Arial"/>
          <w:b/>
        </w:rPr>
      </w:pPr>
    </w:p>
    <w:p w14:paraId="208513FF" w14:textId="52658922" w:rsidR="00BB0030" w:rsidRPr="0072267E" w:rsidRDefault="00C36226" w:rsidP="001278B3">
      <w:pPr>
        <w:pBdr>
          <w:top w:val="nil"/>
          <w:left w:val="nil"/>
          <w:bottom w:val="nil"/>
          <w:right w:val="nil"/>
          <w:between w:val="nil"/>
        </w:pBdr>
        <w:spacing w:after="0" w:line="240" w:lineRule="auto"/>
        <w:ind w:left="720"/>
        <w:jc w:val="both"/>
        <w:rPr>
          <w:rFonts w:ascii="Arial" w:hAnsi="Arial" w:cs="Arial"/>
          <w:b/>
          <w:i/>
          <w:iCs/>
          <w:color w:val="000000"/>
        </w:rPr>
      </w:pPr>
      <w:r>
        <w:rPr>
          <w:rFonts w:ascii="Arial" w:hAnsi="Arial"/>
          <w:b/>
          <w:i/>
        </w:rPr>
        <w:t xml:space="preserve">3.1 </w:t>
      </w:r>
      <w:r>
        <w:rPr>
          <w:rFonts w:ascii="Arial" w:hAnsi="Arial"/>
          <w:b/>
          <w:i/>
          <w:color w:val="000000"/>
        </w:rPr>
        <w:t>Conception de l</w:t>
      </w:r>
      <w:r w:rsidR="00AE4BC5">
        <w:rPr>
          <w:rFonts w:ascii="Arial" w:hAnsi="Arial"/>
          <w:b/>
          <w:i/>
          <w:color w:val="000000"/>
        </w:rPr>
        <w:t>’</w:t>
      </w:r>
      <w:r>
        <w:rPr>
          <w:rFonts w:ascii="Arial" w:hAnsi="Arial"/>
          <w:b/>
          <w:i/>
          <w:color w:val="000000"/>
        </w:rPr>
        <w:t xml:space="preserve">analyse </w:t>
      </w:r>
    </w:p>
    <w:p w14:paraId="7FA11946" w14:textId="7CB39688" w:rsidR="00BB0030" w:rsidRPr="0072267E" w:rsidRDefault="00C36226" w:rsidP="001278B3">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Dans le cadre de cette mission, Mercy Corps </w:t>
      </w:r>
      <w:r>
        <w:rPr>
          <w:rFonts w:ascii="Arial" w:hAnsi="Arial"/>
        </w:rPr>
        <w:t xml:space="preserve">attend </w:t>
      </w:r>
      <w:r>
        <w:rPr>
          <w:rFonts w:ascii="Arial" w:hAnsi="Arial"/>
          <w:color w:val="000000"/>
        </w:rPr>
        <w:t>du prestataire de services qu</w:t>
      </w:r>
      <w:r w:rsidR="00AE4BC5">
        <w:rPr>
          <w:rFonts w:ascii="Arial" w:hAnsi="Arial"/>
          <w:color w:val="000000"/>
        </w:rPr>
        <w:t>’</w:t>
      </w:r>
      <w:r>
        <w:rPr>
          <w:rFonts w:ascii="Arial" w:hAnsi="Arial"/>
          <w:color w:val="000000"/>
        </w:rPr>
        <w:t>il fournisse des informations qualitatives (recueillies</w:t>
      </w:r>
      <w:r>
        <w:rPr>
          <w:rFonts w:ascii="Arial" w:hAnsi="Arial"/>
        </w:rPr>
        <w:t xml:space="preserve"> à l</w:t>
      </w:r>
      <w:r w:rsidR="00AE4BC5">
        <w:rPr>
          <w:rFonts w:ascii="Arial" w:hAnsi="Arial"/>
        </w:rPr>
        <w:t>’</w:t>
      </w:r>
      <w:r>
        <w:rPr>
          <w:rFonts w:ascii="Arial" w:hAnsi="Arial"/>
        </w:rPr>
        <w:t xml:space="preserve">aide de données primaires et secondaires) </w:t>
      </w:r>
      <w:r>
        <w:rPr>
          <w:rFonts w:ascii="Arial" w:hAnsi="Arial"/>
          <w:color w:val="000000"/>
        </w:rPr>
        <w:t>et quantitatives</w:t>
      </w:r>
      <w:r>
        <w:rPr>
          <w:rFonts w:ascii="Arial" w:hAnsi="Arial"/>
        </w:rPr>
        <w:t xml:space="preserve"> (recueillies à l</w:t>
      </w:r>
      <w:r w:rsidR="00AE4BC5">
        <w:rPr>
          <w:rFonts w:ascii="Arial" w:hAnsi="Arial"/>
        </w:rPr>
        <w:t>’</w:t>
      </w:r>
      <w:r>
        <w:rPr>
          <w:rFonts w:ascii="Arial" w:hAnsi="Arial"/>
        </w:rPr>
        <w:t>aide d</w:t>
      </w:r>
      <w:r w:rsidR="00AE4BC5">
        <w:rPr>
          <w:rFonts w:ascii="Arial" w:hAnsi="Arial"/>
        </w:rPr>
        <w:t>’</w:t>
      </w:r>
      <w:r>
        <w:rPr>
          <w:rFonts w:ascii="Arial" w:hAnsi="Arial"/>
        </w:rPr>
        <w:t xml:space="preserve">enquêtes) </w:t>
      </w:r>
      <w:r>
        <w:rPr>
          <w:rFonts w:ascii="Arial" w:hAnsi="Arial"/>
          <w:color w:val="000000"/>
        </w:rPr>
        <w:t>qui</w:t>
      </w:r>
      <w:r>
        <w:rPr>
          <w:rFonts w:ascii="Arial" w:hAnsi="Arial"/>
        </w:rPr>
        <w:t xml:space="preserve"> seront </w:t>
      </w:r>
      <w:r>
        <w:rPr>
          <w:rFonts w:ascii="Arial" w:hAnsi="Arial"/>
          <w:color w:val="000000"/>
        </w:rPr>
        <w:t>utilisées pour adapter</w:t>
      </w:r>
      <w:r>
        <w:rPr>
          <w:rFonts w:ascii="Arial" w:hAnsi="Arial"/>
        </w:rPr>
        <w:t xml:space="preserve"> </w:t>
      </w:r>
      <w:r>
        <w:rPr>
          <w:rFonts w:ascii="Arial" w:hAnsi="Arial"/>
          <w:color w:val="000000"/>
        </w:rPr>
        <w:t>les activités existantes. Les données primaires seront recueillies par le biais d</w:t>
      </w:r>
      <w:r w:rsidR="00AE4BC5">
        <w:rPr>
          <w:rFonts w:ascii="Arial" w:hAnsi="Arial"/>
          <w:color w:val="000000"/>
        </w:rPr>
        <w:t>’</w:t>
      </w:r>
      <w:r>
        <w:rPr>
          <w:rFonts w:ascii="Arial" w:hAnsi="Arial"/>
          <w:color w:val="000000"/>
        </w:rPr>
        <w:t>entretiens avec des informateurs clés, de discu</w:t>
      </w:r>
      <w:r>
        <w:rPr>
          <w:rFonts w:ascii="Arial" w:hAnsi="Arial"/>
          <w:color w:val="000000"/>
        </w:rPr>
        <w:t>ssions de groupe ciblées et d</w:t>
      </w:r>
      <w:r w:rsidR="00AE4BC5">
        <w:rPr>
          <w:rFonts w:ascii="Arial" w:hAnsi="Arial"/>
          <w:color w:val="000000"/>
        </w:rPr>
        <w:t>’</w:t>
      </w:r>
      <w:r>
        <w:rPr>
          <w:rFonts w:ascii="Arial" w:hAnsi="Arial"/>
          <w:color w:val="000000"/>
        </w:rPr>
        <w:t>une enquête sur les ménages. Le prestataire de services doit fournir un nombre indicatif d</w:t>
      </w:r>
      <w:r w:rsidR="00AE4BC5">
        <w:rPr>
          <w:rFonts w:ascii="Arial" w:hAnsi="Arial"/>
          <w:color w:val="000000"/>
        </w:rPr>
        <w:t>’</w:t>
      </w:r>
      <w:r>
        <w:rPr>
          <w:rFonts w:ascii="Arial" w:hAnsi="Arial"/>
          <w:color w:val="000000"/>
        </w:rPr>
        <w:t>entretiens d</w:t>
      </w:r>
      <w:r w:rsidR="00AE4BC5">
        <w:rPr>
          <w:rFonts w:ascii="Arial" w:hAnsi="Arial"/>
          <w:color w:val="000000"/>
        </w:rPr>
        <w:t>’</w:t>
      </w:r>
      <w:r>
        <w:rPr>
          <w:rFonts w:ascii="Arial" w:hAnsi="Arial"/>
          <w:color w:val="000000"/>
        </w:rPr>
        <w:t>information clés, de discussions de groupe et d</w:t>
      </w:r>
      <w:r w:rsidR="00AE4BC5">
        <w:rPr>
          <w:rFonts w:ascii="Arial" w:hAnsi="Arial"/>
          <w:color w:val="000000"/>
        </w:rPr>
        <w:t>’</w:t>
      </w:r>
      <w:r>
        <w:rPr>
          <w:rFonts w:ascii="Arial" w:hAnsi="Arial"/>
          <w:color w:val="000000"/>
        </w:rPr>
        <w:t xml:space="preserve">enquêtes sur la base des parties prenantes proposées à couvrir dans cette </w:t>
      </w:r>
      <w:r>
        <w:rPr>
          <w:rFonts w:ascii="Arial" w:hAnsi="Arial"/>
          <w:color w:val="000000"/>
        </w:rPr>
        <w:t xml:space="preserve">analyse. </w:t>
      </w:r>
    </w:p>
    <w:p w14:paraId="7F73143D" w14:textId="520D6524" w:rsidR="00BB0030" w:rsidRPr="0072267E" w:rsidRDefault="00C36226" w:rsidP="001278B3">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Des outils de collecte de données devraient être développés dans les différents domaines d</w:t>
      </w:r>
      <w:r w:rsidR="00AE4BC5">
        <w:rPr>
          <w:rFonts w:ascii="Arial" w:hAnsi="Arial"/>
          <w:color w:val="000000"/>
        </w:rPr>
        <w:t>’</w:t>
      </w:r>
      <w:r>
        <w:rPr>
          <w:rFonts w:ascii="Arial" w:hAnsi="Arial"/>
          <w:color w:val="000000"/>
        </w:rPr>
        <w:t>enquête pour les différents groupes cibles, notamment les membres de la communauté, les acteurs gouvernementaux, les acteurs des ONG, les acteurs privés, l</w:t>
      </w:r>
      <w:r>
        <w:rPr>
          <w:rFonts w:ascii="Arial" w:hAnsi="Arial"/>
          <w:color w:val="000000"/>
        </w:rPr>
        <w:t>es membres de l</w:t>
      </w:r>
      <w:r w:rsidR="00AE4BC5">
        <w:rPr>
          <w:rFonts w:ascii="Arial" w:hAnsi="Arial"/>
          <w:color w:val="000000"/>
        </w:rPr>
        <w:t>’</w:t>
      </w:r>
      <w:r>
        <w:rPr>
          <w:rFonts w:ascii="Arial" w:hAnsi="Arial"/>
          <w:color w:val="000000"/>
        </w:rPr>
        <w:t>équipe de Mercy Corps, etc.</w:t>
      </w:r>
    </w:p>
    <w:p w14:paraId="7CDC51CE" w14:textId="77777777" w:rsidR="00BB0030" w:rsidRPr="0072267E" w:rsidRDefault="00BB0030" w:rsidP="001278B3">
      <w:pPr>
        <w:spacing w:after="0" w:line="240" w:lineRule="auto"/>
        <w:jc w:val="both"/>
        <w:rPr>
          <w:rFonts w:ascii="Arial" w:hAnsi="Arial" w:cs="Arial"/>
        </w:rPr>
      </w:pPr>
    </w:p>
    <w:p w14:paraId="2B3B5089" w14:textId="3A90FF77" w:rsidR="00BB0030" w:rsidRPr="0072267E" w:rsidRDefault="00C36226" w:rsidP="001278B3">
      <w:pPr>
        <w:spacing w:after="0" w:line="240" w:lineRule="auto"/>
        <w:ind w:left="720"/>
        <w:jc w:val="both"/>
        <w:rPr>
          <w:rFonts w:ascii="Arial" w:hAnsi="Arial" w:cs="Arial"/>
          <w:b/>
          <w:bCs/>
          <w:i/>
          <w:iCs/>
        </w:rPr>
      </w:pPr>
      <w:r>
        <w:rPr>
          <w:rFonts w:ascii="Arial" w:hAnsi="Arial"/>
          <w:b/>
          <w:i/>
        </w:rPr>
        <w:t>3.2 Analyse et résultats</w:t>
      </w:r>
    </w:p>
    <w:p w14:paraId="54B25D89" w14:textId="0173519C" w:rsidR="00E12138" w:rsidRPr="0072267E" w:rsidRDefault="00C36226" w:rsidP="001278B3">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Les résultats de l</w:t>
      </w:r>
      <w:r w:rsidR="00AE4BC5">
        <w:rPr>
          <w:rFonts w:ascii="Arial" w:hAnsi="Arial"/>
          <w:color w:val="000000"/>
        </w:rPr>
        <w:t>’</w:t>
      </w:r>
      <w:r>
        <w:rPr>
          <w:rFonts w:ascii="Arial" w:hAnsi="Arial"/>
          <w:color w:val="000000"/>
        </w:rPr>
        <w:t>analyse doivent être</w:t>
      </w:r>
      <w:r>
        <w:rPr>
          <w:rFonts w:ascii="Arial" w:hAnsi="Arial"/>
        </w:rPr>
        <w:t xml:space="preserve"> analysés</w:t>
      </w:r>
      <w:r>
        <w:rPr>
          <w:rFonts w:ascii="Arial" w:hAnsi="Arial"/>
          <w:color w:val="000000"/>
        </w:rPr>
        <w:t xml:space="preserve"> sur la base de différents domaines thématiques pertinents par rapport à l</w:t>
      </w:r>
      <w:r w:rsidR="00AE4BC5">
        <w:rPr>
          <w:rFonts w:ascii="Arial" w:hAnsi="Arial"/>
          <w:color w:val="000000"/>
        </w:rPr>
        <w:t>’</w:t>
      </w:r>
      <w:r>
        <w:rPr>
          <w:rFonts w:ascii="Arial" w:hAnsi="Arial"/>
          <w:color w:val="000000"/>
        </w:rPr>
        <w:t>objectif du projet et au cadre d</w:t>
      </w:r>
      <w:r w:rsidR="00AE4BC5">
        <w:rPr>
          <w:rFonts w:ascii="Arial" w:hAnsi="Arial"/>
          <w:color w:val="000000"/>
        </w:rPr>
        <w:t>’</w:t>
      </w:r>
      <w:r>
        <w:rPr>
          <w:rFonts w:ascii="Arial" w:hAnsi="Arial"/>
          <w:color w:val="000000"/>
        </w:rPr>
        <w:t>analyse de l</w:t>
      </w:r>
      <w:r w:rsidR="00AE4BC5">
        <w:rPr>
          <w:rFonts w:ascii="Arial" w:hAnsi="Arial"/>
          <w:color w:val="000000"/>
        </w:rPr>
        <w:t>’</w:t>
      </w:r>
      <w:r>
        <w:rPr>
          <w:rFonts w:ascii="Arial" w:hAnsi="Arial"/>
          <w:color w:val="000000"/>
        </w:rPr>
        <w:t>économie politique adopté</w:t>
      </w:r>
      <w:r w:rsidR="00AE4BC5">
        <w:rPr>
          <w:rFonts w:ascii="Arial" w:hAnsi="Arial"/>
          <w:color w:val="000000"/>
        </w:rPr>
        <w:t>e</w:t>
      </w:r>
      <w:r>
        <w:rPr>
          <w:rFonts w:ascii="Arial" w:hAnsi="Arial"/>
          <w:color w:val="000000"/>
        </w:rPr>
        <w:t>. Le prestataire de services devra utiliser un logiciel d</w:t>
      </w:r>
      <w:r w:rsidR="00AE4BC5">
        <w:rPr>
          <w:rFonts w:ascii="Arial" w:hAnsi="Arial"/>
          <w:color w:val="000000"/>
        </w:rPr>
        <w:t>’</w:t>
      </w:r>
      <w:r>
        <w:rPr>
          <w:rFonts w:ascii="Arial" w:hAnsi="Arial"/>
          <w:color w:val="000000"/>
        </w:rPr>
        <w:t xml:space="preserve">analyse de données qualitatives (par exemple </w:t>
      </w:r>
      <w:r>
        <w:rPr>
          <w:rFonts w:ascii="Arial" w:hAnsi="Arial"/>
          <w:color w:val="000000"/>
        </w:rPr>
        <w:t>MAXQDA) pour analyser les données qualitatives.</w:t>
      </w:r>
    </w:p>
    <w:p w14:paraId="685FFE5C" w14:textId="59BB3818" w:rsidR="00CF7F8E" w:rsidRPr="0072267E" w:rsidRDefault="00CF7F8E" w:rsidP="001278B3">
      <w:pPr>
        <w:pBdr>
          <w:top w:val="nil"/>
          <w:left w:val="nil"/>
          <w:bottom w:val="nil"/>
          <w:right w:val="nil"/>
          <w:between w:val="nil"/>
        </w:pBdr>
        <w:spacing w:after="0" w:line="240" w:lineRule="auto"/>
        <w:ind w:left="360"/>
        <w:jc w:val="both"/>
        <w:rPr>
          <w:rFonts w:ascii="Arial" w:hAnsi="Arial" w:cs="Arial"/>
          <w:color w:val="000000"/>
        </w:rPr>
      </w:pPr>
      <w:r>
        <w:rPr>
          <w:rFonts w:ascii="Arial" w:hAnsi="Arial"/>
          <w:color w:val="000000"/>
        </w:rPr>
        <w:t xml:space="preserve"> </w:t>
      </w:r>
    </w:p>
    <w:p w14:paraId="066784F5" w14:textId="400E6DD1" w:rsidR="001971A6" w:rsidRPr="0072267E" w:rsidRDefault="001971A6" w:rsidP="001278B3">
      <w:pPr>
        <w:spacing w:after="0" w:line="240" w:lineRule="auto"/>
        <w:ind w:left="720"/>
        <w:jc w:val="both"/>
        <w:rPr>
          <w:rFonts w:ascii="Arial" w:hAnsi="Arial" w:cs="Arial"/>
          <w:b/>
          <w:i/>
          <w:color w:val="000000"/>
        </w:rPr>
      </w:pPr>
      <w:r>
        <w:rPr>
          <w:rFonts w:ascii="Arial" w:hAnsi="Arial"/>
          <w:b/>
          <w:i/>
        </w:rPr>
        <w:lastRenderedPageBreak/>
        <w:t xml:space="preserve">3.3 </w:t>
      </w:r>
      <w:r>
        <w:rPr>
          <w:rFonts w:ascii="Arial" w:hAnsi="Arial"/>
          <w:b/>
          <w:i/>
          <w:color w:val="000000"/>
        </w:rPr>
        <w:t>Atelier de réflexion et consultation de l</w:t>
      </w:r>
      <w:r w:rsidR="00AE4BC5">
        <w:rPr>
          <w:rFonts w:ascii="Arial" w:hAnsi="Arial"/>
          <w:b/>
          <w:i/>
          <w:color w:val="000000"/>
        </w:rPr>
        <w:t>’</w:t>
      </w:r>
      <w:r>
        <w:rPr>
          <w:rFonts w:ascii="Arial" w:hAnsi="Arial"/>
          <w:b/>
          <w:i/>
          <w:color w:val="000000"/>
        </w:rPr>
        <w:t>équipe</w:t>
      </w:r>
    </w:p>
    <w:p w14:paraId="4C646AEB" w14:textId="02219491" w:rsidR="001971A6" w:rsidRPr="0072267E" w:rsidRDefault="001971A6" w:rsidP="001278B3">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 prestataire de services, en collaboration avec l</w:t>
      </w:r>
      <w:r w:rsidR="00AE4BC5">
        <w:rPr>
          <w:rFonts w:ascii="Arial" w:hAnsi="Arial"/>
          <w:color w:val="000000"/>
        </w:rPr>
        <w:t>’</w:t>
      </w:r>
      <w:r>
        <w:rPr>
          <w:rFonts w:ascii="Arial" w:hAnsi="Arial"/>
          <w:color w:val="000000"/>
        </w:rPr>
        <w:t>équipe de Mercy Corps chargée de la gouvernance,</w:t>
      </w:r>
      <w:r>
        <w:rPr>
          <w:rFonts w:ascii="Arial" w:hAnsi="Arial"/>
        </w:rPr>
        <w:t xml:space="preserve"> organisera </w:t>
      </w:r>
      <w:r>
        <w:rPr>
          <w:rFonts w:ascii="Arial" w:hAnsi="Arial"/>
          <w:color w:val="000000"/>
        </w:rPr>
        <w:t>un ou plusieurs</w:t>
      </w:r>
      <w:r>
        <w:rPr>
          <w:rFonts w:ascii="Arial" w:hAnsi="Arial"/>
        </w:rPr>
        <w:t xml:space="preserve"> ateliers </w:t>
      </w:r>
      <w:r>
        <w:rPr>
          <w:rFonts w:ascii="Arial" w:hAnsi="Arial"/>
          <w:color w:val="000000"/>
        </w:rPr>
        <w:t>de sensibilisation avec l</w:t>
      </w:r>
      <w:r w:rsidR="00AE4BC5">
        <w:rPr>
          <w:rFonts w:ascii="Arial" w:hAnsi="Arial"/>
          <w:color w:val="000000"/>
        </w:rPr>
        <w:t>’</w:t>
      </w:r>
      <w:r>
        <w:rPr>
          <w:rFonts w:ascii="Arial" w:hAnsi="Arial"/>
          <w:color w:val="000000"/>
        </w:rPr>
        <w:t xml:space="preserve">équipe LGR et les acteurs concernés </w:t>
      </w:r>
      <w:r w:rsidR="00AE4BC5">
        <w:rPr>
          <w:rFonts w:ascii="Arial" w:hAnsi="Arial"/>
          <w:color w:val="000000"/>
        </w:rPr>
        <w:t>pour</w:t>
      </w:r>
      <w:r>
        <w:rPr>
          <w:rFonts w:ascii="Arial" w:hAnsi="Arial"/>
          <w:color w:val="000000"/>
        </w:rPr>
        <w:t xml:space="preserve"> partager et valider les</w:t>
      </w:r>
      <w:r>
        <w:rPr>
          <w:rFonts w:ascii="Arial" w:hAnsi="Arial"/>
        </w:rPr>
        <w:t xml:space="preserve"> résultats </w:t>
      </w:r>
      <w:r>
        <w:rPr>
          <w:rFonts w:ascii="Arial" w:hAnsi="Arial"/>
          <w:color w:val="000000"/>
        </w:rPr>
        <w:t>préliminaires et recevoir des informations en retour pour définir les domaines d</w:t>
      </w:r>
      <w:r w:rsidR="00AE4BC5">
        <w:rPr>
          <w:rFonts w:ascii="Arial" w:hAnsi="Arial"/>
          <w:color w:val="000000"/>
        </w:rPr>
        <w:t>’</w:t>
      </w:r>
      <w:r>
        <w:rPr>
          <w:rFonts w:ascii="Arial" w:hAnsi="Arial"/>
          <w:color w:val="000000"/>
        </w:rPr>
        <w:t xml:space="preserve">intervention prioritaires.  </w:t>
      </w:r>
    </w:p>
    <w:p w14:paraId="787AC30D" w14:textId="761F4D1D" w:rsidR="002E0BBB" w:rsidRPr="0072267E" w:rsidRDefault="001971A6" w:rsidP="001278B3">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Organiser </w:t>
      </w:r>
      <w:r>
        <w:rPr>
          <w:rFonts w:ascii="Arial" w:hAnsi="Arial"/>
          <w:color w:val="000000"/>
        </w:rPr>
        <w:t>une consultation après l</w:t>
      </w:r>
      <w:r w:rsidR="00AE4BC5">
        <w:rPr>
          <w:rFonts w:ascii="Arial" w:hAnsi="Arial"/>
          <w:color w:val="000000"/>
        </w:rPr>
        <w:t>’</w:t>
      </w:r>
      <w:r>
        <w:rPr>
          <w:rFonts w:ascii="Arial" w:hAnsi="Arial"/>
          <w:color w:val="000000"/>
        </w:rPr>
        <w:t>atelier de validation avec l</w:t>
      </w:r>
      <w:r w:rsidR="00AE4BC5">
        <w:rPr>
          <w:rFonts w:ascii="Arial" w:hAnsi="Arial"/>
          <w:color w:val="000000"/>
        </w:rPr>
        <w:t>’</w:t>
      </w:r>
      <w:r>
        <w:rPr>
          <w:rFonts w:ascii="Arial" w:hAnsi="Arial"/>
          <w:color w:val="000000"/>
        </w:rPr>
        <w:t xml:space="preserve">équipe LGR pour discuter des résultats, des priorités et des adaptations aux activités LGR ainsi que des indicateurs qualitatifs et quantitatifs. </w:t>
      </w:r>
    </w:p>
    <w:p w14:paraId="50D1344C" w14:textId="77777777" w:rsidR="001971A6" w:rsidRPr="0072267E" w:rsidRDefault="001971A6" w:rsidP="001278B3">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72267E" w:rsidRDefault="001971A6" w:rsidP="001278B3">
      <w:pPr>
        <w:spacing w:after="0" w:line="240" w:lineRule="auto"/>
        <w:ind w:left="720"/>
        <w:jc w:val="both"/>
        <w:rPr>
          <w:rFonts w:ascii="Arial" w:hAnsi="Arial" w:cs="Arial"/>
          <w:b/>
          <w:i/>
          <w:color w:val="000000"/>
        </w:rPr>
      </w:pPr>
      <w:r>
        <w:rPr>
          <w:rFonts w:ascii="Arial" w:hAnsi="Arial"/>
          <w:b/>
          <w:i/>
        </w:rPr>
        <w:t xml:space="preserve">3.2 Finalisation du rapport </w:t>
      </w:r>
    </w:p>
    <w:p w14:paraId="17BFCBE6" w14:textId="7304AD28" w:rsidR="001971A6" w:rsidRPr="0072267E" w:rsidRDefault="001971A6" w:rsidP="001278B3">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Sur la base des</w:t>
      </w:r>
      <w:r>
        <w:rPr>
          <w:rFonts w:ascii="Arial" w:hAnsi="Arial"/>
        </w:rPr>
        <w:t xml:space="preserve"> résultats </w:t>
      </w:r>
      <w:r>
        <w:rPr>
          <w:rFonts w:ascii="Arial" w:hAnsi="Arial"/>
          <w:color w:val="000000"/>
        </w:rPr>
        <w:t>de l</w:t>
      </w:r>
      <w:r w:rsidR="00AE4BC5">
        <w:rPr>
          <w:rFonts w:ascii="Arial" w:hAnsi="Arial"/>
          <w:color w:val="000000"/>
        </w:rPr>
        <w:t>’</w:t>
      </w:r>
      <w:r>
        <w:rPr>
          <w:rFonts w:ascii="Arial" w:hAnsi="Arial"/>
          <w:color w:val="000000"/>
        </w:rPr>
        <w:t>analyse et de la validation des résultats par l</w:t>
      </w:r>
      <w:r w:rsidR="00AE4BC5">
        <w:rPr>
          <w:rFonts w:ascii="Arial" w:hAnsi="Arial"/>
          <w:color w:val="000000"/>
        </w:rPr>
        <w:t>’</w:t>
      </w:r>
      <w:r>
        <w:rPr>
          <w:rFonts w:ascii="Arial" w:hAnsi="Arial"/>
          <w:color w:val="000000"/>
        </w:rPr>
        <w:t>atelier de réflexion, le prestataire de services doit inclure dans le rapport des recommandations spécifiques pour l</w:t>
      </w:r>
      <w:r w:rsidR="00AE4BC5">
        <w:rPr>
          <w:rFonts w:ascii="Arial" w:hAnsi="Arial"/>
          <w:color w:val="000000"/>
        </w:rPr>
        <w:t>’</w:t>
      </w:r>
      <w:r>
        <w:rPr>
          <w:rFonts w:ascii="Arial" w:hAnsi="Arial"/>
          <w:color w:val="000000"/>
        </w:rPr>
        <w:t xml:space="preserve">adaptation des activités. </w:t>
      </w:r>
    </w:p>
    <w:p w14:paraId="32E1FA38" w14:textId="1678EC72" w:rsidR="001971A6" w:rsidRPr="0072267E" w:rsidRDefault="001971A6" w:rsidP="001278B3">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Pendant toutes les étapes de l</w:t>
      </w:r>
      <w:r w:rsidR="00AE4BC5">
        <w:rPr>
          <w:rFonts w:ascii="Arial" w:hAnsi="Arial"/>
          <w:color w:val="000000"/>
        </w:rPr>
        <w:t>’</w:t>
      </w:r>
      <w:r>
        <w:rPr>
          <w:rFonts w:ascii="Arial" w:hAnsi="Arial"/>
          <w:color w:val="000000"/>
        </w:rPr>
        <w:t>analyse et de la finalisation, le prestataire de services doit organiser</w:t>
      </w:r>
      <w:r>
        <w:rPr>
          <w:rFonts w:ascii="Arial" w:hAnsi="Arial"/>
        </w:rPr>
        <w:t xml:space="preserve"> régulièrement</w:t>
      </w:r>
      <w:r>
        <w:rPr>
          <w:rFonts w:ascii="Arial" w:hAnsi="Arial"/>
          <w:color w:val="000000"/>
        </w:rPr>
        <w:t xml:space="preserve"> des réunions de consultation avec l</w:t>
      </w:r>
      <w:r w:rsidR="00AE4BC5">
        <w:rPr>
          <w:rFonts w:ascii="Arial" w:hAnsi="Arial"/>
          <w:color w:val="000000"/>
        </w:rPr>
        <w:t>’</w:t>
      </w:r>
      <w:r>
        <w:rPr>
          <w:rFonts w:ascii="Arial" w:hAnsi="Arial"/>
          <w:color w:val="000000"/>
        </w:rPr>
        <w:t>équipe de Mercy Corps afin</w:t>
      </w:r>
      <w:r>
        <w:rPr>
          <w:rFonts w:ascii="Arial" w:hAnsi="Arial"/>
        </w:rPr>
        <w:t xml:space="preserve"> de </w:t>
      </w:r>
      <w:r>
        <w:rPr>
          <w:rFonts w:ascii="Arial" w:hAnsi="Arial"/>
          <w:color w:val="000000"/>
        </w:rPr>
        <w:t>garantir une compréhension commune de la mission et des résultats finaux.</w:t>
      </w:r>
    </w:p>
    <w:p w14:paraId="15089C79" w14:textId="77777777" w:rsidR="001971A6" w:rsidRPr="0072267E" w:rsidRDefault="001971A6" w:rsidP="001278B3">
      <w:pPr>
        <w:pBdr>
          <w:top w:val="nil"/>
          <w:left w:val="nil"/>
          <w:bottom w:val="nil"/>
          <w:right w:val="nil"/>
          <w:between w:val="nil"/>
        </w:pBdr>
        <w:spacing w:after="0" w:line="240" w:lineRule="auto"/>
        <w:jc w:val="both"/>
        <w:rPr>
          <w:rFonts w:ascii="Arial" w:hAnsi="Arial" w:cs="Arial"/>
          <w:color w:val="000000"/>
        </w:rPr>
      </w:pPr>
    </w:p>
    <w:p w14:paraId="57A66F2D" w14:textId="56423209" w:rsidR="00CF7F8E" w:rsidRPr="0072267E" w:rsidRDefault="00CF7F8E" w:rsidP="001278B3">
      <w:p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Considérations éthiques</w:t>
      </w:r>
      <w:r w:rsidR="00AE4BC5">
        <w:rPr>
          <w:rFonts w:ascii="Arial" w:hAnsi="Arial"/>
          <w:b/>
          <w:color w:val="000000"/>
        </w:rPr>
        <w:t> </w:t>
      </w:r>
      <w:r>
        <w:rPr>
          <w:rFonts w:ascii="Arial" w:hAnsi="Arial"/>
          <w:b/>
          <w:color w:val="000000"/>
        </w:rPr>
        <w:t>:</w:t>
      </w:r>
      <w:r>
        <w:rPr>
          <w:rFonts w:ascii="Arial" w:hAnsi="Arial"/>
          <w:color w:val="000000"/>
        </w:rPr>
        <w:t xml:space="preserve"> Le prestataire de services est tenu de respecter toutes les considérations éthiques, y compris le principe «</w:t>
      </w:r>
      <w:r w:rsidR="00AE4BC5">
        <w:rPr>
          <w:rFonts w:ascii="Arial" w:hAnsi="Arial"/>
          <w:color w:val="000000"/>
        </w:rPr>
        <w:t> </w:t>
      </w:r>
      <w:r>
        <w:rPr>
          <w:rFonts w:ascii="Arial" w:hAnsi="Arial"/>
          <w:color w:val="000000"/>
        </w:rPr>
        <w:t>Ne Pas nuire</w:t>
      </w:r>
      <w:r w:rsidR="00AE4BC5">
        <w:rPr>
          <w:rFonts w:ascii="Arial" w:hAnsi="Arial"/>
          <w:color w:val="000000"/>
        </w:rPr>
        <w:t> </w:t>
      </w:r>
      <w:r>
        <w:rPr>
          <w:rFonts w:ascii="Arial" w:hAnsi="Arial"/>
          <w:color w:val="000000"/>
        </w:rPr>
        <w:t>».</w:t>
      </w:r>
    </w:p>
    <w:p w14:paraId="342F4F57" w14:textId="77777777" w:rsidR="00BB0030" w:rsidRPr="0072267E" w:rsidRDefault="00BB0030" w:rsidP="001278B3">
      <w:pPr>
        <w:spacing w:after="0" w:line="240" w:lineRule="auto"/>
        <w:jc w:val="both"/>
        <w:rPr>
          <w:rFonts w:ascii="Arial" w:hAnsi="Arial" w:cs="Arial"/>
          <w:b/>
        </w:rPr>
      </w:pPr>
    </w:p>
    <w:p w14:paraId="679B12F9" w14:textId="43550298" w:rsidR="00BB0030" w:rsidRPr="0072267E" w:rsidRDefault="00C36226" w:rsidP="001278B3">
      <w:pPr>
        <w:numPr>
          <w:ilvl w:val="0"/>
          <w:numId w:val="18"/>
        </w:numPr>
        <w:pBdr>
          <w:top w:val="nil"/>
          <w:left w:val="nil"/>
          <w:bottom w:val="nil"/>
          <w:right w:val="nil"/>
          <w:between w:val="nil"/>
        </w:pBdr>
        <w:spacing w:line="240" w:lineRule="auto"/>
        <w:jc w:val="both"/>
        <w:rPr>
          <w:rFonts w:ascii="Arial" w:hAnsi="Arial" w:cs="Arial"/>
          <w:color w:val="000000"/>
        </w:rPr>
      </w:pPr>
      <w:r>
        <w:rPr>
          <w:rFonts w:ascii="Arial" w:hAnsi="Arial"/>
          <w:b/>
          <w:color w:val="000000"/>
        </w:rPr>
        <w:t>Résultats attendus</w:t>
      </w:r>
    </w:p>
    <w:p w14:paraId="4333BB1D" w14:textId="44866174" w:rsidR="00BB0030" w:rsidRPr="0072267E" w:rsidRDefault="00C36226" w:rsidP="001278B3">
      <w:pPr>
        <w:spacing w:after="0" w:line="240" w:lineRule="auto"/>
        <w:jc w:val="both"/>
        <w:rPr>
          <w:rFonts w:ascii="Arial" w:hAnsi="Arial" w:cs="Arial"/>
        </w:rPr>
      </w:pPr>
      <w:r>
        <w:rPr>
          <w:rFonts w:ascii="Arial" w:hAnsi="Arial"/>
        </w:rPr>
        <w:t>Le consultant doit fournir les produits suivants</w:t>
      </w:r>
      <w:r w:rsidR="00AE4BC5">
        <w:rPr>
          <w:rFonts w:ascii="Arial" w:hAnsi="Arial"/>
        </w:rPr>
        <w:t> </w:t>
      </w:r>
      <w:r>
        <w:rPr>
          <w:rFonts w:ascii="Arial" w:hAnsi="Arial"/>
        </w:rPr>
        <w:t>:</w:t>
      </w:r>
    </w:p>
    <w:p w14:paraId="329E2D84" w14:textId="77777777" w:rsidR="00BB0030" w:rsidRPr="0072267E" w:rsidRDefault="00BB0030" w:rsidP="001278B3">
      <w:pPr>
        <w:spacing w:after="0" w:line="240" w:lineRule="auto"/>
        <w:jc w:val="both"/>
        <w:rPr>
          <w:rFonts w:ascii="Arial" w:hAnsi="Arial" w:cs="Arial"/>
        </w:rPr>
      </w:pPr>
    </w:p>
    <w:p w14:paraId="46013B5D" w14:textId="77777777" w:rsidR="00CF7F8E" w:rsidRPr="0072267E" w:rsidRDefault="00CF7F8E" w:rsidP="001278B3">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72267E" w:rsidRDefault="00CF7F8E" w:rsidP="001278B3">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72267E" w:rsidRDefault="00CF7F8E" w:rsidP="001278B3">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72267E" w:rsidRDefault="00CF7F8E" w:rsidP="001278B3">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72267E" w:rsidRDefault="00CF7F8E" w:rsidP="001278B3">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72558557" w:rsidR="00CF7F8E" w:rsidRPr="0072267E" w:rsidRDefault="00CF7F8E" w:rsidP="001278B3">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Rapport de démarrage avec</w:t>
      </w:r>
      <w:r w:rsidR="00AE4BC5">
        <w:rPr>
          <w:rFonts w:ascii="Arial" w:hAnsi="Arial"/>
          <w:color w:val="000000"/>
        </w:rPr>
        <w:t> </w:t>
      </w:r>
      <w:r>
        <w:rPr>
          <w:rFonts w:ascii="Arial" w:hAnsi="Arial"/>
          <w:color w:val="000000"/>
        </w:rPr>
        <w:t>:</w:t>
      </w:r>
    </w:p>
    <w:p w14:paraId="78C8683B" w14:textId="35FEF477" w:rsidR="00484FAA" w:rsidRPr="0072267E" w:rsidRDefault="00484FAA" w:rsidP="001278B3">
      <w:pPr>
        <w:numPr>
          <w:ilvl w:val="1"/>
          <w:numId w:val="3"/>
        </w:numPr>
        <w:spacing w:after="0" w:line="240" w:lineRule="auto"/>
        <w:rPr>
          <w:rFonts w:ascii="Arial" w:hAnsi="Arial" w:cs="Arial"/>
        </w:rPr>
      </w:pPr>
      <w:r>
        <w:rPr>
          <w:rFonts w:ascii="Arial" w:hAnsi="Arial"/>
        </w:rPr>
        <w:t xml:space="preserve">Présentation de la méthodologie </w:t>
      </w:r>
    </w:p>
    <w:p w14:paraId="3B5397EB" w14:textId="55E95184" w:rsidR="00484FAA" w:rsidRPr="0072267E" w:rsidRDefault="00484FAA" w:rsidP="001278B3">
      <w:pPr>
        <w:numPr>
          <w:ilvl w:val="1"/>
          <w:numId w:val="3"/>
        </w:numPr>
        <w:spacing w:after="0" w:line="240" w:lineRule="auto"/>
        <w:rPr>
          <w:rFonts w:ascii="Arial" w:hAnsi="Arial" w:cs="Arial"/>
        </w:rPr>
      </w:pPr>
      <w:r>
        <w:rPr>
          <w:rFonts w:ascii="Arial" w:hAnsi="Arial"/>
        </w:rPr>
        <w:t>Affiner et confirmer le champ d</w:t>
      </w:r>
      <w:r w:rsidR="00AE4BC5">
        <w:rPr>
          <w:rFonts w:ascii="Arial" w:hAnsi="Arial"/>
        </w:rPr>
        <w:t>’</w:t>
      </w:r>
      <w:r>
        <w:rPr>
          <w:rFonts w:ascii="Arial" w:hAnsi="Arial"/>
        </w:rPr>
        <w:t>investigation et les questions directrices</w:t>
      </w:r>
    </w:p>
    <w:p w14:paraId="42C31A70" w14:textId="72E918FB" w:rsidR="00484FAA" w:rsidRPr="0072267E" w:rsidRDefault="00484FAA" w:rsidP="001278B3">
      <w:pPr>
        <w:numPr>
          <w:ilvl w:val="1"/>
          <w:numId w:val="3"/>
        </w:numPr>
        <w:spacing w:after="0" w:line="240" w:lineRule="auto"/>
        <w:rPr>
          <w:rFonts w:ascii="Arial" w:hAnsi="Arial" w:cs="Arial"/>
        </w:rPr>
      </w:pPr>
      <w:r>
        <w:rPr>
          <w:rFonts w:ascii="Arial" w:hAnsi="Arial"/>
          <w:color w:val="000000"/>
        </w:rPr>
        <w:t>Méthodologie de l</w:t>
      </w:r>
      <w:r w:rsidR="00AE4BC5">
        <w:rPr>
          <w:rFonts w:ascii="Arial" w:hAnsi="Arial"/>
          <w:color w:val="000000"/>
        </w:rPr>
        <w:t>’</w:t>
      </w:r>
      <w:r>
        <w:rPr>
          <w:rFonts w:ascii="Arial" w:hAnsi="Arial"/>
          <w:color w:val="000000"/>
        </w:rPr>
        <w:t>étude</w:t>
      </w:r>
    </w:p>
    <w:p w14:paraId="3EE5CE95" w14:textId="737041D4" w:rsidR="00484FAA" w:rsidRPr="0072267E" w:rsidRDefault="00484FAA" w:rsidP="001278B3">
      <w:pPr>
        <w:numPr>
          <w:ilvl w:val="1"/>
          <w:numId w:val="3"/>
        </w:numPr>
        <w:spacing w:after="0" w:line="240" w:lineRule="auto"/>
        <w:rPr>
          <w:rFonts w:ascii="Arial" w:hAnsi="Arial" w:cs="Arial"/>
        </w:rPr>
      </w:pPr>
      <w:r>
        <w:rPr>
          <w:rFonts w:ascii="Arial" w:hAnsi="Arial"/>
          <w:color w:val="000000"/>
        </w:rPr>
        <w:t>Outils d</w:t>
      </w:r>
      <w:r w:rsidR="00AE4BC5">
        <w:rPr>
          <w:rFonts w:ascii="Arial" w:hAnsi="Arial"/>
          <w:color w:val="000000"/>
        </w:rPr>
        <w:t>’</w:t>
      </w:r>
      <w:r>
        <w:rPr>
          <w:rFonts w:ascii="Arial" w:hAnsi="Arial"/>
          <w:color w:val="000000"/>
        </w:rPr>
        <w:t xml:space="preserve">entretien (anglais et langue locale) </w:t>
      </w:r>
    </w:p>
    <w:p w14:paraId="31DCF558" w14:textId="1132F715" w:rsidR="00484FAA" w:rsidRPr="0072267E" w:rsidRDefault="00484FAA" w:rsidP="001278B3">
      <w:pPr>
        <w:numPr>
          <w:ilvl w:val="1"/>
          <w:numId w:val="3"/>
        </w:numPr>
        <w:spacing w:after="0" w:line="240" w:lineRule="auto"/>
        <w:rPr>
          <w:rFonts w:ascii="Arial" w:hAnsi="Arial" w:cs="Arial"/>
        </w:rPr>
      </w:pPr>
      <w:r>
        <w:rPr>
          <w:rFonts w:ascii="Arial" w:hAnsi="Arial"/>
          <w:color w:val="000000"/>
        </w:rPr>
        <w:t>Plan de travail révisé</w:t>
      </w:r>
    </w:p>
    <w:p w14:paraId="071BC796" w14:textId="2CBB73C0" w:rsidR="00484FAA" w:rsidRPr="0072267E" w:rsidRDefault="00484FAA" w:rsidP="001278B3">
      <w:pPr>
        <w:numPr>
          <w:ilvl w:val="1"/>
          <w:numId w:val="3"/>
        </w:numPr>
        <w:spacing w:after="0" w:line="240" w:lineRule="auto"/>
        <w:rPr>
          <w:rFonts w:ascii="Arial" w:hAnsi="Arial" w:cs="Arial"/>
        </w:rPr>
      </w:pPr>
      <w:r>
        <w:rPr>
          <w:rFonts w:ascii="Arial" w:hAnsi="Arial"/>
        </w:rPr>
        <w:t>Présentation des sections du rapport final</w:t>
      </w:r>
    </w:p>
    <w:p w14:paraId="72A0300E" w14:textId="77777777" w:rsidR="00675B71" w:rsidRPr="0072267E" w:rsidRDefault="001971A6" w:rsidP="001278B3">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Projet de rapport avec les conclusions </w:t>
      </w:r>
    </w:p>
    <w:p w14:paraId="11609AB2" w14:textId="349A4A8B" w:rsidR="00675B71" w:rsidRPr="0072267E" w:rsidRDefault="00675B71" w:rsidP="001278B3">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Notes anonymisées des KII, des FGD et de toutes les données d</w:t>
      </w:r>
      <w:r w:rsidR="00AE4BC5">
        <w:rPr>
          <w:rFonts w:ascii="Arial" w:hAnsi="Arial"/>
          <w:color w:val="000000"/>
        </w:rPr>
        <w:t>’</w:t>
      </w:r>
      <w:r>
        <w:rPr>
          <w:rFonts w:ascii="Arial" w:hAnsi="Arial"/>
          <w:color w:val="000000"/>
        </w:rPr>
        <w:t xml:space="preserve">enquête (données brutes en anglais et en langue locale). </w:t>
      </w:r>
    </w:p>
    <w:p w14:paraId="4B843ADE" w14:textId="6A285082" w:rsidR="001971A6" w:rsidRPr="0072267E" w:rsidRDefault="001971A6" w:rsidP="001278B3">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 rapport de l</w:t>
      </w:r>
      <w:r w:rsidR="00AE4BC5">
        <w:rPr>
          <w:rFonts w:ascii="Arial" w:hAnsi="Arial"/>
          <w:color w:val="000000"/>
        </w:rPr>
        <w:t>’</w:t>
      </w:r>
      <w:r>
        <w:rPr>
          <w:rFonts w:ascii="Arial" w:hAnsi="Arial"/>
          <w:color w:val="000000"/>
        </w:rPr>
        <w:t>atelier sur l</w:t>
      </w:r>
      <w:r w:rsidR="00AE4BC5">
        <w:rPr>
          <w:rFonts w:ascii="Arial" w:hAnsi="Arial"/>
          <w:color w:val="000000"/>
        </w:rPr>
        <w:t>’</w:t>
      </w:r>
      <w:r>
        <w:rPr>
          <w:rFonts w:ascii="Arial" w:hAnsi="Arial"/>
          <w:color w:val="000000"/>
        </w:rPr>
        <w:t>élaboration d</w:t>
      </w:r>
      <w:r w:rsidR="00AE4BC5">
        <w:rPr>
          <w:rFonts w:ascii="Arial" w:hAnsi="Arial"/>
          <w:color w:val="000000"/>
        </w:rPr>
        <w:t>’</w:t>
      </w:r>
      <w:r>
        <w:rPr>
          <w:rFonts w:ascii="Arial" w:hAnsi="Arial"/>
          <w:color w:val="000000"/>
        </w:rPr>
        <w:t>un sens, qui rend compte de la validation des conclusions du projet de rapport.</w:t>
      </w:r>
    </w:p>
    <w:p w14:paraId="23CF105D" w14:textId="12E043C9" w:rsidR="00BB0030" w:rsidRPr="0072267E" w:rsidRDefault="001971A6" w:rsidP="001278B3">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Rapport final avec des conclusions validées, des recommandations spécifiques, des plans d</w:t>
      </w:r>
      <w:r w:rsidR="00AE4BC5">
        <w:rPr>
          <w:rFonts w:ascii="Arial" w:hAnsi="Arial"/>
          <w:color w:val="000000"/>
        </w:rPr>
        <w:t>’</w:t>
      </w:r>
      <w:r>
        <w:rPr>
          <w:rFonts w:ascii="Arial" w:hAnsi="Arial"/>
          <w:color w:val="000000"/>
        </w:rPr>
        <w:t>action basés sur l</w:t>
      </w:r>
      <w:r w:rsidR="00AE4BC5">
        <w:rPr>
          <w:rFonts w:ascii="Arial" w:hAnsi="Arial"/>
          <w:color w:val="000000"/>
        </w:rPr>
        <w:t>’</w:t>
      </w:r>
      <w:r>
        <w:rPr>
          <w:rFonts w:ascii="Arial" w:hAnsi="Arial"/>
          <w:color w:val="000000"/>
        </w:rPr>
        <w:t>objectif du projet et des activités proposées en accord avec les conclusions.</w:t>
      </w:r>
    </w:p>
    <w:p w14:paraId="38BB8351" w14:textId="318E8A2C" w:rsidR="00675B71" w:rsidRPr="0072267E" w:rsidRDefault="00027059" w:rsidP="001278B3">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Fiche de synthèse de deux pages</w:t>
      </w:r>
    </w:p>
    <w:p w14:paraId="59B37475" w14:textId="77777777" w:rsidR="00BB0030" w:rsidRPr="0072267E" w:rsidRDefault="00BB0030" w:rsidP="001278B3">
      <w:pPr>
        <w:spacing w:after="0" w:line="240" w:lineRule="auto"/>
        <w:jc w:val="both"/>
        <w:rPr>
          <w:rFonts w:ascii="Arial" w:hAnsi="Arial" w:cs="Arial"/>
          <w:i/>
        </w:rPr>
      </w:pPr>
    </w:p>
    <w:p w14:paraId="50370954" w14:textId="77777777" w:rsidR="00D335A2" w:rsidRPr="0072267E" w:rsidRDefault="00D335A2" w:rsidP="001278B3">
      <w:pPr>
        <w:numPr>
          <w:ilvl w:val="0"/>
          <w:numId w:val="18"/>
        </w:numPr>
        <w:pBdr>
          <w:top w:val="nil"/>
          <w:left w:val="nil"/>
          <w:bottom w:val="nil"/>
          <w:right w:val="nil"/>
          <w:between w:val="nil"/>
        </w:pBdr>
        <w:spacing w:after="0" w:line="240" w:lineRule="auto"/>
        <w:jc w:val="both"/>
        <w:rPr>
          <w:rFonts w:ascii="Arial" w:hAnsi="Arial" w:cs="Arial"/>
        </w:rPr>
      </w:pPr>
      <w:r>
        <w:rPr>
          <w:rFonts w:ascii="Arial" w:hAnsi="Arial"/>
          <w:b/>
          <w:color w:val="000000"/>
        </w:rPr>
        <w:t xml:space="preserve">Ce que Mercy Corps fournira  </w:t>
      </w:r>
    </w:p>
    <w:p w14:paraId="49FD474D" w14:textId="77777777" w:rsidR="00D335A2" w:rsidRPr="0072267E" w:rsidRDefault="00D335A2" w:rsidP="001278B3">
      <w:pPr>
        <w:pBdr>
          <w:top w:val="nil"/>
          <w:left w:val="nil"/>
          <w:bottom w:val="nil"/>
          <w:right w:val="nil"/>
          <w:between w:val="nil"/>
        </w:pBdr>
        <w:spacing w:after="0" w:line="240" w:lineRule="auto"/>
        <w:ind w:left="720"/>
        <w:jc w:val="both"/>
        <w:rPr>
          <w:rFonts w:ascii="Arial" w:hAnsi="Arial" w:cs="Arial"/>
        </w:rPr>
      </w:pPr>
    </w:p>
    <w:p w14:paraId="0359CBB9" w14:textId="6BDDCE73" w:rsidR="00D335A2" w:rsidRPr="0072267E" w:rsidRDefault="00124831" w:rsidP="001278B3">
      <w:pPr>
        <w:numPr>
          <w:ilvl w:val="0"/>
          <w:numId w:val="6"/>
        </w:numPr>
        <w:pBdr>
          <w:top w:val="nil"/>
          <w:left w:val="nil"/>
          <w:bottom w:val="nil"/>
          <w:right w:val="nil"/>
          <w:between w:val="nil"/>
        </w:pBdr>
        <w:spacing w:after="0" w:line="240" w:lineRule="auto"/>
        <w:jc w:val="both"/>
        <w:rPr>
          <w:rFonts w:ascii="Arial" w:hAnsi="Arial" w:cs="Arial"/>
        </w:rPr>
      </w:pPr>
      <w:r>
        <w:rPr>
          <w:rFonts w:ascii="Arial" w:hAnsi="Arial"/>
        </w:rPr>
        <w:t>Mercy Corps fournira l</w:t>
      </w:r>
      <w:r w:rsidR="00AE4BC5">
        <w:rPr>
          <w:rFonts w:ascii="Arial" w:hAnsi="Arial"/>
        </w:rPr>
        <w:t>’</w:t>
      </w:r>
      <w:r>
        <w:rPr>
          <w:rFonts w:ascii="Arial" w:hAnsi="Arial"/>
        </w:rPr>
        <w:t>appui nécessaire pour entreprendre et mettre en œuvre la mission et réaliser l</w:t>
      </w:r>
      <w:r w:rsidR="00AE4BC5">
        <w:rPr>
          <w:rFonts w:ascii="Arial" w:hAnsi="Arial"/>
        </w:rPr>
        <w:t>’</w:t>
      </w:r>
      <w:r>
        <w:rPr>
          <w:rFonts w:ascii="Arial" w:hAnsi="Arial"/>
        </w:rPr>
        <w:t>objectif de ce cahier des charges. Ces responsabilités comprennent ce qui suit</w:t>
      </w:r>
      <w:r w:rsidR="00AE4BC5">
        <w:rPr>
          <w:rFonts w:ascii="Arial" w:hAnsi="Arial"/>
        </w:rPr>
        <w:t> </w:t>
      </w:r>
      <w:r>
        <w:rPr>
          <w:rFonts w:ascii="Arial" w:hAnsi="Arial"/>
        </w:rPr>
        <w:t>:</w:t>
      </w:r>
    </w:p>
    <w:p w14:paraId="59D0D013" w14:textId="14EAAA6B" w:rsidR="00D335A2" w:rsidRPr="0072267E" w:rsidRDefault="00124831"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Fournir les documents pertinents du programme, les orientations et les outils liés à l</w:t>
      </w:r>
      <w:r w:rsidR="00AE4BC5">
        <w:rPr>
          <w:rFonts w:ascii="Arial" w:hAnsi="Arial"/>
        </w:rPr>
        <w:t>’</w:t>
      </w:r>
      <w:r>
        <w:rPr>
          <w:rFonts w:ascii="Arial" w:hAnsi="Arial"/>
        </w:rPr>
        <w:t>initiative PEA et d</w:t>
      </w:r>
      <w:r w:rsidR="00AE4BC5">
        <w:rPr>
          <w:rFonts w:ascii="Arial" w:hAnsi="Arial"/>
        </w:rPr>
        <w:t>’</w:t>
      </w:r>
      <w:r>
        <w:rPr>
          <w:rFonts w:ascii="Arial" w:hAnsi="Arial"/>
        </w:rPr>
        <w:t>autres documents pertinents.</w:t>
      </w:r>
    </w:p>
    <w:p w14:paraId="1BCC8096" w14:textId="09988611" w:rsidR="00D335A2" w:rsidRPr="0072267E" w:rsidRDefault="00124831"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Orienter l</w:t>
      </w:r>
      <w:r w:rsidR="00AE4BC5">
        <w:rPr>
          <w:rFonts w:ascii="Arial" w:hAnsi="Arial"/>
        </w:rPr>
        <w:t>’</w:t>
      </w:r>
      <w:r>
        <w:rPr>
          <w:rFonts w:ascii="Arial" w:hAnsi="Arial"/>
        </w:rPr>
        <w:t>équipe sur toute information pertinente et utile concernant le programme et les institutions.</w:t>
      </w:r>
    </w:p>
    <w:p w14:paraId="4F6731F5" w14:textId="4BEC8039" w:rsidR="00D335A2" w:rsidRPr="0072267E" w:rsidRDefault="00124831"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lastRenderedPageBreak/>
        <w:t>Fournir un service de soutien dans la conception de l</w:t>
      </w:r>
      <w:r w:rsidR="00AE4BC5">
        <w:rPr>
          <w:rFonts w:ascii="Arial" w:hAnsi="Arial"/>
        </w:rPr>
        <w:t>’</w:t>
      </w:r>
      <w:r>
        <w:rPr>
          <w:rFonts w:ascii="Arial" w:hAnsi="Arial"/>
        </w:rPr>
        <w:t>étude, le développement de l</w:t>
      </w:r>
      <w:r w:rsidR="00AE4BC5">
        <w:rPr>
          <w:rFonts w:ascii="Arial" w:hAnsi="Arial"/>
        </w:rPr>
        <w:t>’</w:t>
      </w:r>
      <w:r>
        <w:rPr>
          <w:rFonts w:ascii="Arial" w:hAnsi="Arial"/>
        </w:rPr>
        <w:t>outil, la collecte des données, l</w:t>
      </w:r>
      <w:r w:rsidR="00AE4BC5">
        <w:rPr>
          <w:rFonts w:ascii="Arial" w:hAnsi="Arial"/>
        </w:rPr>
        <w:t>’</w:t>
      </w:r>
      <w:r>
        <w:rPr>
          <w:rFonts w:ascii="Arial" w:hAnsi="Arial"/>
        </w:rPr>
        <w:t>analyse des données et le processus de finalisation du rapport.</w:t>
      </w:r>
    </w:p>
    <w:p w14:paraId="72BFAFDE" w14:textId="4AFFEB5D" w:rsidR="00D335A2" w:rsidRPr="0072267E" w:rsidRDefault="00124831"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Organiser le plan de collecte des données et affecter un soutien sur le terrain pour assurer la liaison en temps utile avec l</w:t>
      </w:r>
      <w:r w:rsidR="00AE4BC5">
        <w:rPr>
          <w:rFonts w:ascii="Arial" w:hAnsi="Arial"/>
        </w:rPr>
        <w:t>’</w:t>
      </w:r>
      <w:r>
        <w:rPr>
          <w:rFonts w:ascii="Arial" w:hAnsi="Arial"/>
        </w:rPr>
        <w:t>équipe en ce qui concerne la logistique et les mesures de sécurité.</w:t>
      </w:r>
    </w:p>
    <w:p w14:paraId="46E79E99" w14:textId="22DEC793" w:rsidR="00124831" w:rsidRPr="0072267E" w:rsidRDefault="00124831"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Assurer un suivi régulier, fournir un retour d</w:t>
      </w:r>
      <w:r w:rsidR="00AE4BC5">
        <w:rPr>
          <w:rFonts w:ascii="Arial" w:hAnsi="Arial"/>
        </w:rPr>
        <w:t>’</w:t>
      </w:r>
      <w:r>
        <w:rPr>
          <w:rFonts w:ascii="Arial" w:hAnsi="Arial"/>
        </w:rPr>
        <w:t>information et garantir l</w:t>
      </w:r>
      <w:r w:rsidR="00AE4BC5">
        <w:rPr>
          <w:rFonts w:ascii="Arial" w:hAnsi="Arial"/>
        </w:rPr>
        <w:t>’</w:t>
      </w:r>
      <w:r>
        <w:rPr>
          <w:rFonts w:ascii="Arial" w:hAnsi="Arial"/>
        </w:rPr>
        <w:t>efficacité de l</w:t>
      </w:r>
      <w:r w:rsidR="00AE4BC5">
        <w:rPr>
          <w:rFonts w:ascii="Arial" w:hAnsi="Arial"/>
        </w:rPr>
        <w:t>’</w:t>
      </w:r>
      <w:r>
        <w:rPr>
          <w:rFonts w:ascii="Arial" w:hAnsi="Arial"/>
        </w:rPr>
        <w:t>étude</w:t>
      </w:r>
      <w:r w:rsidR="00AE4BC5">
        <w:rPr>
          <w:rFonts w:ascii="Arial" w:hAnsi="Arial"/>
        </w:rPr>
        <w:t> </w:t>
      </w:r>
      <w:r>
        <w:rPr>
          <w:rFonts w:ascii="Arial" w:hAnsi="Arial"/>
        </w:rPr>
        <w:t>; et,</w:t>
      </w:r>
    </w:p>
    <w:p w14:paraId="1268E51F" w14:textId="579B2319" w:rsidR="00D335A2" w:rsidRPr="0072267E" w:rsidRDefault="00D335A2"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fournira tous les téléphones, tablettes et logiciels nécessaires (Mercy Corps a des abonnements à SPSS, Stata, </w:t>
      </w:r>
      <w:proofErr w:type="spellStart"/>
      <w:r>
        <w:rPr>
          <w:rFonts w:ascii="Arial" w:hAnsi="Arial"/>
        </w:rPr>
        <w:t>MaxQDA</w:t>
      </w:r>
      <w:proofErr w:type="spellEnd"/>
      <w:r>
        <w:rPr>
          <w:rFonts w:ascii="Arial" w:hAnsi="Arial"/>
        </w:rPr>
        <w:t xml:space="preserve">, </w:t>
      </w:r>
      <w:proofErr w:type="spellStart"/>
      <w:r>
        <w:rPr>
          <w:rFonts w:ascii="Arial" w:hAnsi="Arial"/>
        </w:rPr>
        <w:t>Commcare</w:t>
      </w:r>
      <w:proofErr w:type="spellEnd"/>
      <w:r>
        <w:rPr>
          <w:rFonts w:ascii="Arial" w:hAnsi="Arial"/>
        </w:rPr>
        <w:t xml:space="preserve">, </w:t>
      </w:r>
      <w:proofErr w:type="spellStart"/>
      <w:r>
        <w:rPr>
          <w:rFonts w:ascii="Arial" w:hAnsi="Arial"/>
        </w:rPr>
        <w:t>Atlas.ti</w:t>
      </w:r>
      <w:proofErr w:type="spellEnd"/>
      <w:r>
        <w:rPr>
          <w:rFonts w:ascii="Arial" w:hAnsi="Arial"/>
        </w:rPr>
        <w:t xml:space="preserve">, </w:t>
      </w:r>
      <w:proofErr w:type="spellStart"/>
      <w:r>
        <w:rPr>
          <w:rFonts w:ascii="Arial" w:hAnsi="Arial"/>
        </w:rPr>
        <w:t>Ona</w:t>
      </w:r>
      <w:proofErr w:type="spellEnd"/>
      <w:r>
        <w:rPr>
          <w:rFonts w:ascii="Arial" w:hAnsi="Arial"/>
        </w:rPr>
        <w:t>, qui peuvent tous être utilisés par l</w:t>
      </w:r>
      <w:r w:rsidR="00AE4BC5">
        <w:rPr>
          <w:rFonts w:ascii="Arial" w:hAnsi="Arial"/>
        </w:rPr>
        <w:t>’</w:t>
      </w:r>
      <w:r>
        <w:rPr>
          <w:rFonts w:ascii="Arial" w:hAnsi="Arial"/>
        </w:rPr>
        <w:t xml:space="preserve">entreprise pour la durée de cette étude).  </w:t>
      </w:r>
    </w:p>
    <w:p w14:paraId="0E5ACF03" w14:textId="3A7A5F3E" w:rsidR="00D335A2" w:rsidRPr="0072267E" w:rsidRDefault="00D335A2"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fournira tous les véhicules nécessaires à la collecte des données primaires, avec le carburant et le chauffeur (ainsi que le salaire et les indemnités journalières du chauffeur). Chaque véhicule peut transporter confortablement 4</w:t>
      </w:r>
      <w:r w:rsidR="00AE4BC5">
        <w:rPr>
          <w:rFonts w:ascii="Arial" w:hAnsi="Arial"/>
        </w:rPr>
        <w:t> </w:t>
      </w:r>
      <w:r>
        <w:rPr>
          <w:rFonts w:ascii="Arial" w:hAnsi="Arial"/>
        </w:rPr>
        <w:t>personnes (en plus du chauffeur). Il s</w:t>
      </w:r>
      <w:r w:rsidR="00AE4BC5">
        <w:rPr>
          <w:rFonts w:ascii="Arial" w:hAnsi="Arial"/>
        </w:rPr>
        <w:t>’</w:t>
      </w:r>
      <w:r>
        <w:rPr>
          <w:rFonts w:ascii="Arial" w:hAnsi="Arial"/>
        </w:rPr>
        <w:t>agit de véhicules 4X4. L</w:t>
      </w:r>
      <w:r w:rsidR="00AE4BC5">
        <w:rPr>
          <w:rFonts w:ascii="Arial" w:hAnsi="Arial"/>
        </w:rPr>
        <w:t>’</w:t>
      </w:r>
      <w:r>
        <w:rPr>
          <w:rFonts w:ascii="Arial" w:hAnsi="Arial"/>
        </w:rPr>
        <w:t>entreprise n</w:t>
      </w:r>
      <w:r w:rsidR="00AE4BC5">
        <w:rPr>
          <w:rFonts w:ascii="Arial" w:hAnsi="Arial"/>
        </w:rPr>
        <w:t>’</w:t>
      </w:r>
      <w:r>
        <w:rPr>
          <w:rFonts w:ascii="Arial" w:hAnsi="Arial"/>
        </w:rPr>
        <w:t>a qu</w:t>
      </w:r>
      <w:r w:rsidR="00AE4BC5">
        <w:rPr>
          <w:rFonts w:ascii="Arial" w:hAnsi="Arial"/>
        </w:rPr>
        <w:t>’</w:t>
      </w:r>
      <w:r>
        <w:rPr>
          <w:rFonts w:ascii="Arial" w:hAnsi="Arial"/>
        </w:rPr>
        <w:t xml:space="preserve">à indiquer dans sa proposition combien de véhicules seront nécessaires et pour combien de jours.  </w:t>
      </w:r>
    </w:p>
    <w:p w14:paraId="7CC4640D" w14:textId="03A4A6FE" w:rsidR="00D335A2" w:rsidRPr="0072267E" w:rsidRDefault="00D335A2"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peut aider l</w:t>
      </w:r>
      <w:r w:rsidR="00AE4BC5">
        <w:rPr>
          <w:rFonts w:ascii="Arial" w:hAnsi="Arial"/>
        </w:rPr>
        <w:t>’</w:t>
      </w:r>
      <w:r>
        <w:rPr>
          <w:rFonts w:ascii="Arial" w:hAnsi="Arial"/>
        </w:rPr>
        <w:t xml:space="preserve">entreprise à réserver des hôtels pour les collecteurs de données. Il lui suffit de connaître le nombre de collecteurs de données et de superviseurs que votre entreprise engagera. </w:t>
      </w:r>
    </w:p>
    <w:p w14:paraId="388AD8AB" w14:textId="1BE9E393" w:rsidR="00D335A2" w:rsidRPr="0072267E" w:rsidRDefault="00D335A2"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dispose d</w:t>
      </w:r>
      <w:r w:rsidR="00AE4BC5">
        <w:rPr>
          <w:rFonts w:ascii="Arial" w:hAnsi="Arial"/>
        </w:rPr>
        <w:t>’</w:t>
      </w:r>
      <w:r>
        <w:rPr>
          <w:rFonts w:ascii="Arial" w:hAnsi="Arial"/>
        </w:rPr>
        <w:t>un bureau avec une salle de conférence suffisamment grande pour former jusqu</w:t>
      </w:r>
      <w:r w:rsidR="00AE4BC5">
        <w:rPr>
          <w:rFonts w:ascii="Arial" w:hAnsi="Arial"/>
        </w:rPr>
        <w:t>’</w:t>
      </w:r>
      <w:r>
        <w:rPr>
          <w:rFonts w:ascii="Arial" w:hAnsi="Arial"/>
        </w:rPr>
        <w:t>à 30</w:t>
      </w:r>
      <w:r w:rsidR="00AE4BC5">
        <w:rPr>
          <w:rFonts w:ascii="Arial" w:hAnsi="Arial"/>
        </w:rPr>
        <w:t> </w:t>
      </w:r>
      <w:r>
        <w:rPr>
          <w:rFonts w:ascii="Arial" w:hAnsi="Arial"/>
        </w:rPr>
        <w:t>collecteurs de données et qui ser</w:t>
      </w:r>
      <w:r w:rsidR="00AE4BC5">
        <w:rPr>
          <w:rFonts w:ascii="Arial" w:hAnsi="Arial"/>
        </w:rPr>
        <w:t>ont</w:t>
      </w:r>
      <w:r>
        <w:rPr>
          <w:rFonts w:ascii="Arial" w:hAnsi="Arial"/>
        </w:rPr>
        <w:t xml:space="preserve"> à la disposition de l</w:t>
      </w:r>
      <w:r w:rsidR="00AE4BC5">
        <w:rPr>
          <w:rFonts w:ascii="Arial" w:hAnsi="Arial"/>
        </w:rPr>
        <w:t>’</w:t>
      </w:r>
      <w:r>
        <w:rPr>
          <w:rFonts w:ascii="Arial" w:hAnsi="Arial"/>
        </w:rPr>
        <w:t xml:space="preserve">entreprise.   </w:t>
      </w:r>
    </w:p>
    <w:p w14:paraId="42687A49" w14:textId="2C66976D" w:rsidR="00D335A2" w:rsidRPr="0072267E" w:rsidRDefault="00D335A2" w:rsidP="001278B3">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prendra en charge les frais de traduction.  </w:t>
      </w:r>
    </w:p>
    <w:p w14:paraId="23B51DAC" w14:textId="0543759C" w:rsidR="00BB0030" w:rsidRPr="0072267E" w:rsidRDefault="00BB0030" w:rsidP="001278B3">
      <w:pPr>
        <w:spacing w:after="0" w:line="240" w:lineRule="auto"/>
        <w:jc w:val="both"/>
        <w:rPr>
          <w:rFonts w:ascii="Arial" w:hAnsi="Arial" w:cs="Arial"/>
        </w:rPr>
      </w:pPr>
    </w:p>
    <w:p w14:paraId="583D97E3" w14:textId="5134A60F" w:rsidR="00D335A2" w:rsidRPr="0072267E" w:rsidRDefault="00D335A2"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Qualité des données, sécurité et protection des sujets humains. </w:t>
      </w:r>
    </w:p>
    <w:p w14:paraId="5CBB4D8C" w14:textId="76CC2F8D" w:rsidR="00D335A2" w:rsidRPr="0072267E" w:rsidRDefault="00D335A2" w:rsidP="001278B3">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La qualité des données ne doit pas être compromise et le maximum de précautions doit être pris pour éviter ou au moins minimiser les erreurs à tous les stades de la collecte des données. La façon dont la protection des informations d</w:t>
      </w:r>
      <w:r w:rsidR="00AE4BC5">
        <w:rPr>
          <w:rFonts w:ascii="Arial" w:hAnsi="Arial"/>
          <w:color w:val="000000"/>
        </w:rPr>
        <w:t>’</w:t>
      </w:r>
      <w:r>
        <w:rPr>
          <w:rFonts w:ascii="Arial" w:hAnsi="Arial"/>
          <w:color w:val="000000"/>
        </w:rPr>
        <w:t xml:space="preserve">identification personnelle (PII) et la sécurité et le bien-être des participants (protection des sujets humains) doivent être décrits dans la proposition technique. </w:t>
      </w:r>
    </w:p>
    <w:p w14:paraId="189AEBF9" w14:textId="77777777" w:rsidR="00D335A2" w:rsidRPr="0072267E" w:rsidRDefault="00D335A2" w:rsidP="001278B3">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72267E" w:rsidRDefault="00D335A2"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Communication des résultats/réflexions. </w:t>
      </w:r>
    </w:p>
    <w:p w14:paraId="6AC85469" w14:textId="1E530100" w:rsidR="00D335A2" w:rsidRPr="0072267E" w:rsidRDefault="00D335A2" w:rsidP="001278B3">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Un rapport final doit être soumis, et la société doit organiser et faciliter une présentation (à distance) des résultats à l</w:t>
      </w:r>
      <w:r w:rsidR="00AE4BC5">
        <w:rPr>
          <w:rFonts w:ascii="Arial" w:hAnsi="Arial"/>
          <w:color w:val="000000"/>
        </w:rPr>
        <w:t>’</w:t>
      </w:r>
      <w:r>
        <w:rPr>
          <w:rFonts w:ascii="Arial" w:hAnsi="Arial"/>
          <w:color w:val="000000"/>
        </w:rPr>
        <w:t>équipe LGR et à d</w:t>
      </w:r>
      <w:r w:rsidR="00AE4BC5">
        <w:rPr>
          <w:rFonts w:ascii="Arial" w:hAnsi="Arial"/>
          <w:color w:val="000000"/>
        </w:rPr>
        <w:t>’</w:t>
      </w:r>
      <w:r>
        <w:rPr>
          <w:rFonts w:ascii="Arial" w:hAnsi="Arial"/>
          <w:color w:val="000000"/>
        </w:rPr>
        <w:t>autres employés et partenaires de Mercy Corps, comme Mercy Corps le juge approprié.</w:t>
      </w:r>
    </w:p>
    <w:p w14:paraId="21A9691E" w14:textId="77777777" w:rsidR="00D335A2" w:rsidRPr="0072267E" w:rsidRDefault="00D335A2" w:rsidP="001278B3">
      <w:pPr>
        <w:pBdr>
          <w:top w:val="nil"/>
          <w:left w:val="nil"/>
          <w:bottom w:val="nil"/>
          <w:right w:val="nil"/>
          <w:between w:val="nil"/>
        </w:pBdr>
        <w:spacing w:after="0" w:line="240" w:lineRule="auto"/>
        <w:ind w:left="720"/>
        <w:jc w:val="both"/>
        <w:rPr>
          <w:rFonts w:ascii="Arial" w:hAnsi="Arial" w:cs="Arial"/>
          <w:color w:val="000000"/>
        </w:rPr>
      </w:pPr>
    </w:p>
    <w:p w14:paraId="41689534" w14:textId="715A2694" w:rsidR="00D335A2" w:rsidRPr="0072267E" w:rsidRDefault="00D335A2"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Composition de l</w:t>
      </w:r>
      <w:r w:rsidR="00AE4BC5">
        <w:rPr>
          <w:rFonts w:ascii="Arial" w:hAnsi="Arial"/>
          <w:b/>
          <w:color w:val="000000"/>
        </w:rPr>
        <w:t>’</w:t>
      </w:r>
      <w:r>
        <w:rPr>
          <w:rFonts w:ascii="Arial" w:hAnsi="Arial"/>
          <w:b/>
          <w:color w:val="000000"/>
        </w:rPr>
        <w:t>équipe. </w:t>
      </w:r>
    </w:p>
    <w:p w14:paraId="561D3425" w14:textId="4D7B4BAB" w:rsidR="00D13EDF" w:rsidRDefault="009646F3" w:rsidP="001278B3">
      <w:pPr>
        <w:spacing w:after="0" w:line="240" w:lineRule="auto"/>
        <w:ind w:left="720"/>
        <w:jc w:val="both"/>
        <w:rPr>
          <w:rStyle w:val="eop"/>
          <w:rFonts w:ascii="Arial" w:hAnsi="Arial" w:cs="Arial"/>
          <w:color w:val="000000"/>
          <w:shd w:val="clear" w:color="auto" w:fill="FFFFFF"/>
        </w:rPr>
      </w:pPr>
      <w:r>
        <w:rPr>
          <w:rStyle w:val="normaltextrun"/>
          <w:rFonts w:ascii="Arial" w:hAnsi="Arial"/>
          <w:color w:val="000000"/>
          <w:shd w:val="clear" w:color="auto" w:fill="FFFFFF"/>
        </w:rPr>
        <w:t>Le cabinet doit proposer une équipe rentable pour cette évaluation. Le rôle des membres de l</w:t>
      </w:r>
      <w:r w:rsidR="00AE4BC5">
        <w:rPr>
          <w:rStyle w:val="normaltextrun"/>
          <w:rFonts w:ascii="Arial" w:hAnsi="Arial"/>
          <w:color w:val="000000"/>
          <w:shd w:val="clear" w:color="auto" w:fill="FFFFFF"/>
        </w:rPr>
        <w:t>’</w:t>
      </w:r>
      <w:r>
        <w:rPr>
          <w:rStyle w:val="normaltextrun"/>
          <w:rFonts w:ascii="Arial" w:hAnsi="Arial"/>
          <w:color w:val="000000"/>
          <w:shd w:val="clear" w:color="auto" w:fill="FFFFFF"/>
        </w:rPr>
        <w:t>équipe doit être décrit dans la section</w:t>
      </w:r>
      <w:r w:rsidR="00AE4BC5">
        <w:rPr>
          <w:rStyle w:val="normaltextrun"/>
          <w:rFonts w:ascii="Arial" w:hAnsi="Arial"/>
          <w:color w:val="000000"/>
          <w:shd w:val="clear" w:color="auto" w:fill="FFFFFF"/>
        </w:rPr>
        <w:t> </w:t>
      </w:r>
      <w:r>
        <w:rPr>
          <w:rStyle w:val="normaltextrun"/>
          <w:rFonts w:ascii="Arial" w:hAnsi="Arial"/>
          <w:color w:val="000000"/>
          <w:shd w:val="clear" w:color="auto" w:fill="FFFFFF"/>
        </w:rPr>
        <w:t>II (la proposition technique), mais chaque membre de l</w:t>
      </w:r>
      <w:r w:rsidR="00AE4BC5">
        <w:rPr>
          <w:rStyle w:val="normaltextrun"/>
          <w:rFonts w:ascii="Arial" w:hAnsi="Arial"/>
          <w:color w:val="000000"/>
          <w:shd w:val="clear" w:color="auto" w:fill="FFFFFF"/>
        </w:rPr>
        <w:t>’</w:t>
      </w:r>
      <w:r>
        <w:rPr>
          <w:rStyle w:val="normaltextrun"/>
          <w:rFonts w:ascii="Arial" w:hAnsi="Arial"/>
          <w:color w:val="000000"/>
          <w:shd w:val="clear" w:color="auto" w:fill="FFFFFF"/>
        </w:rPr>
        <w:t>équipe doit être répertorié par poste/fonction dans la section</w:t>
      </w:r>
      <w:r w:rsidR="00AE4BC5">
        <w:rPr>
          <w:rStyle w:val="normaltextrun"/>
          <w:rFonts w:ascii="Arial" w:hAnsi="Arial"/>
          <w:color w:val="000000"/>
          <w:shd w:val="clear" w:color="auto" w:fill="FFFFFF"/>
        </w:rPr>
        <w:t> </w:t>
      </w:r>
      <w:r>
        <w:rPr>
          <w:rStyle w:val="normaltextrun"/>
          <w:rFonts w:ascii="Arial" w:hAnsi="Arial"/>
          <w:color w:val="000000"/>
          <w:shd w:val="clear" w:color="auto" w:fill="FFFFFF"/>
        </w:rPr>
        <w:t>III (la «</w:t>
      </w:r>
      <w:r w:rsidR="00AE4BC5">
        <w:rPr>
          <w:rStyle w:val="normaltextrun"/>
          <w:rFonts w:ascii="Arial" w:hAnsi="Arial"/>
          <w:color w:val="000000"/>
          <w:shd w:val="clear" w:color="auto" w:fill="FFFFFF"/>
        </w:rPr>
        <w:t> </w:t>
      </w:r>
      <w:r>
        <w:rPr>
          <w:rStyle w:val="normaltextrun"/>
          <w:rFonts w:ascii="Arial" w:hAnsi="Arial"/>
          <w:color w:val="000000"/>
          <w:shd w:val="clear" w:color="auto" w:fill="FFFFFF"/>
        </w:rPr>
        <w:t>proposition de LOE</w:t>
      </w:r>
      <w:r w:rsidR="00AE4BC5">
        <w:rPr>
          <w:rStyle w:val="normaltextrun"/>
          <w:rFonts w:ascii="Arial" w:hAnsi="Arial"/>
          <w:color w:val="000000"/>
          <w:shd w:val="clear" w:color="auto" w:fill="FFFFFF"/>
        </w:rPr>
        <w:t> </w:t>
      </w:r>
      <w:r>
        <w:rPr>
          <w:rStyle w:val="normaltextrun"/>
          <w:rFonts w:ascii="Arial" w:hAnsi="Arial"/>
          <w:color w:val="000000"/>
          <w:shd w:val="clear" w:color="auto" w:fill="FFFFFF"/>
        </w:rPr>
        <w:t>»). Veuillez noter que la composition de l</w:t>
      </w:r>
      <w:r w:rsidR="00AE4BC5">
        <w:rPr>
          <w:rStyle w:val="normaltextrun"/>
          <w:rFonts w:ascii="Arial" w:hAnsi="Arial"/>
          <w:color w:val="000000"/>
          <w:shd w:val="clear" w:color="auto" w:fill="FFFFFF"/>
        </w:rPr>
        <w:t>’</w:t>
      </w:r>
      <w:r>
        <w:rPr>
          <w:rStyle w:val="normaltextrun"/>
          <w:rFonts w:ascii="Arial" w:hAnsi="Arial"/>
          <w:color w:val="000000"/>
          <w:shd w:val="clear" w:color="auto" w:fill="FFFFFF"/>
        </w:rPr>
        <w:t xml:space="preserve">équipe proposée </w:t>
      </w:r>
      <w:r>
        <w:rPr>
          <w:rStyle w:val="normaltextrun"/>
          <w:rFonts w:ascii="Arial" w:hAnsi="Arial"/>
          <w:b/>
          <w:color w:val="000000"/>
          <w:shd w:val="clear" w:color="auto" w:fill="FFFFFF"/>
        </w:rPr>
        <w:t>ne doit pas nécessairement correspondre ou inclure les deux rôles décrits dans la section des soumissions de CV</w:t>
      </w:r>
      <w:r>
        <w:rPr>
          <w:rStyle w:val="normaltextrun"/>
          <w:rFonts w:ascii="Arial" w:hAnsi="Arial"/>
          <w:color w:val="000000"/>
          <w:shd w:val="clear" w:color="auto" w:fill="FFFFFF"/>
        </w:rPr>
        <w:t xml:space="preserve"> </w:t>
      </w:r>
      <w:r w:rsidR="00AE4BC5">
        <w:rPr>
          <w:rStyle w:val="normaltextrun"/>
          <w:rFonts w:ascii="Arial" w:hAnsi="Arial"/>
          <w:color w:val="000000"/>
          <w:shd w:val="clear" w:color="auto" w:fill="FFFFFF"/>
        </w:rPr>
        <w:t>—</w:t>
      </w:r>
      <w:r>
        <w:rPr>
          <w:rStyle w:val="normaltextrun"/>
          <w:rFonts w:ascii="Arial" w:hAnsi="Arial"/>
          <w:color w:val="000000"/>
          <w:shd w:val="clear" w:color="auto" w:fill="FFFFFF"/>
        </w:rPr>
        <w:t xml:space="preserve"> les deux profils décrits dans la section</w:t>
      </w:r>
      <w:r w:rsidR="00AE4BC5">
        <w:rPr>
          <w:rStyle w:val="normaltextrun"/>
          <w:rFonts w:ascii="Arial" w:hAnsi="Arial"/>
          <w:color w:val="000000"/>
          <w:shd w:val="clear" w:color="auto" w:fill="FFFFFF"/>
        </w:rPr>
        <w:t> </w:t>
      </w:r>
      <w:r>
        <w:rPr>
          <w:rStyle w:val="normaltextrun"/>
          <w:rFonts w:ascii="Arial" w:hAnsi="Arial"/>
          <w:color w:val="000000"/>
          <w:shd w:val="clear" w:color="auto" w:fill="FFFFFF"/>
        </w:rPr>
        <w:t>10 sont uniquement destinés aux soumissions de CV.</w:t>
      </w:r>
      <w:r>
        <w:rPr>
          <w:rStyle w:val="eop"/>
          <w:rFonts w:ascii="Arial" w:hAnsi="Arial"/>
          <w:color w:val="000000"/>
          <w:shd w:val="clear" w:color="auto" w:fill="FFFFFF"/>
        </w:rPr>
        <w:t> </w:t>
      </w:r>
    </w:p>
    <w:p w14:paraId="76B96553" w14:textId="77777777" w:rsidR="009646F3" w:rsidRDefault="009646F3" w:rsidP="001278B3">
      <w:pPr>
        <w:spacing w:after="0" w:line="240" w:lineRule="auto"/>
        <w:jc w:val="both"/>
        <w:rPr>
          <w:rFonts w:ascii="Arial" w:hAnsi="Arial" w:cs="Arial"/>
        </w:rPr>
      </w:pPr>
    </w:p>
    <w:p w14:paraId="0FB9D660" w14:textId="467CC18A" w:rsidR="0003622C" w:rsidRPr="0003622C" w:rsidRDefault="0003622C" w:rsidP="001278B3">
      <w:pPr>
        <w:pStyle w:val="ListParagraph"/>
        <w:numPr>
          <w:ilvl w:val="0"/>
          <w:numId w:val="18"/>
        </w:numPr>
        <w:jc w:val="both"/>
        <w:rPr>
          <w:rFonts w:ascii="Arial" w:hAnsi="Arial" w:cs="Arial"/>
          <w:b/>
          <w:bCs/>
        </w:rPr>
      </w:pPr>
      <w:r>
        <w:rPr>
          <w:rFonts w:ascii="Arial" w:hAnsi="Arial"/>
          <w:b/>
        </w:rPr>
        <w:t xml:space="preserve"> Soumissions de CV</w:t>
      </w:r>
    </w:p>
    <w:p w14:paraId="45A4F8D6" w14:textId="615062B9" w:rsidR="008630DC" w:rsidRDefault="008630DC" w:rsidP="001278B3">
      <w:pPr>
        <w:pStyle w:val="paragraph"/>
        <w:spacing w:before="0" w:beforeAutospacing="0" w:after="240" w:afterAutospacing="0"/>
        <w:ind w:left="810"/>
        <w:textAlignment w:val="baseline"/>
        <w:rPr>
          <w:rFonts w:ascii="Segoe UI" w:hAnsi="Segoe UI" w:cs="Segoe UI"/>
          <w:sz w:val="18"/>
          <w:szCs w:val="18"/>
        </w:rPr>
      </w:pPr>
      <w:r>
        <w:rPr>
          <w:rStyle w:val="normaltextrun"/>
          <w:rFonts w:ascii="Arial" w:hAnsi="Arial"/>
          <w:color w:val="000000"/>
          <w:sz w:val="22"/>
        </w:rPr>
        <w:t>Veuillez soumettre un CV d</w:t>
      </w:r>
      <w:r w:rsidR="00AE4BC5">
        <w:rPr>
          <w:rStyle w:val="normaltextrun"/>
          <w:rFonts w:ascii="Arial" w:hAnsi="Arial"/>
          <w:color w:val="000000"/>
          <w:sz w:val="22"/>
        </w:rPr>
        <w:t>’</w:t>
      </w:r>
      <w:r>
        <w:rPr>
          <w:rStyle w:val="normaltextrun"/>
          <w:rFonts w:ascii="Arial" w:hAnsi="Arial"/>
          <w:color w:val="000000"/>
          <w:sz w:val="22"/>
        </w:rPr>
        <w:t xml:space="preserve">un membre actuel du personnel pour les deux rôles énumérés ci-dessous (2 CV au total au maximum). </w:t>
      </w:r>
      <w:r>
        <w:rPr>
          <w:rStyle w:val="normaltextrun"/>
          <w:rFonts w:ascii="Arial" w:hAnsi="Arial"/>
          <w:b/>
          <w:color w:val="000000"/>
          <w:sz w:val="22"/>
        </w:rPr>
        <w:t>Veuillez utiliser le modèle de CV fourni</w:t>
      </w:r>
      <w:r>
        <w:rPr>
          <w:rStyle w:val="normaltextrun"/>
          <w:rFonts w:ascii="Arial" w:hAnsi="Arial"/>
          <w:color w:val="000000"/>
          <w:sz w:val="22"/>
        </w:rPr>
        <w:t xml:space="preserve"> Les entreprises doivent soumettre les membres du personnel qu</w:t>
      </w:r>
      <w:r w:rsidR="00AE4BC5">
        <w:rPr>
          <w:rStyle w:val="normaltextrun"/>
          <w:rFonts w:ascii="Arial" w:hAnsi="Arial"/>
          <w:color w:val="000000"/>
          <w:sz w:val="22"/>
        </w:rPr>
        <w:t>’</w:t>
      </w:r>
      <w:r>
        <w:rPr>
          <w:rStyle w:val="normaltextrun"/>
          <w:rFonts w:ascii="Arial" w:hAnsi="Arial"/>
          <w:color w:val="000000"/>
          <w:sz w:val="22"/>
        </w:rPr>
        <w:t xml:space="preserve">elles jugent les plus qualifiés pour ce projet. </w:t>
      </w:r>
      <w:r>
        <w:rPr>
          <w:rStyle w:val="normaltextrun"/>
          <w:rFonts w:ascii="Arial" w:hAnsi="Arial"/>
          <w:b/>
          <w:color w:val="000000"/>
          <w:sz w:val="22"/>
        </w:rPr>
        <w:t xml:space="preserve">Les CV soumis ne doivent pas nécessairement </w:t>
      </w:r>
      <w:r>
        <w:rPr>
          <w:rStyle w:val="normaltextrun"/>
          <w:rFonts w:ascii="Arial" w:hAnsi="Arial"/>
          <w:b/>
          <w:color w:val="000000"/>
          <w:sz w:val="22"/>
        </w:rPr>
        <w:lastRenderedPageBreak/>
        <w:t>correspondre aux rôles ou aux membres du personnel décrits dans la section «</w:t>
      </w:r>
      <w:r w:rsidR="00AE4BC5">
        <w:rPr>
          <w:rStyle w:val="normaltextrun"/>
          <w:rFonts w:ascii="Arial" w:hAnsi="Arial"/>
          <w:b/>
          <w:color w:val="000000"/>
          <w:sz w:val="22"/>
        </w:rPr>
        <w:t> </w:t>
      </w:r>
      <w:r>
        <w:rPr>
          <w:rStyle w:val="normaltextrun"/>
          <w:rFonts w:ascii="Arial" w:hAnsi="Arial"/>
          <w:b/>
          <w:color w:val="000000"/>
          <w:sz w:val="22"/>
        </w:rPr>
        <w:t>Proposition de LOE</w:t>
      </w:r>
      <w:r w:rsidR="00AE4BC5">
        <w:rPr>
          <w:rStyle w:val="normaltextrun"/>
          <w:rFonts w:ascii="Arial" w:hAnsi="Arial"/>
          <w:b/>
          <w:color w:val="000000"/>
          <w:sz w:val="22"/>
        </w:rPr>
        <w:t> </w:t>
      </w:r>
      <w:r>
        <w:rPr>
          <w:rStyle w:val="normaltextrun"/>
          <w:rFonts w:ascii="Arial" w:hAnsi="Arial"/>
          <w:b/>
          <w:color w:val="000000"/>
          <w:sz w:val="22"/>
        </w:rPr>
        <w:t>».</w:t>
      </w:r>
      <w:r>
        <w:rPr>
          <w:rStyle w:val="normaltextrun"/>
          <w:rFonts w:ascii="Arial" w:hAnsi="Arial"/>
          <w:color w:val="000000"/>
          <w:sz w:val="22"/>
        </w:rPr>
        <w:t xml:space="preserve"> Veuillez soumettre les CV suivants</w:t>
      </w:r>
      <w:r w:rsidR="00AE4BC5">
        <w:rPr>
          <w:rStyle w:val="normaltextrun"/>
          <w:rFonts w:ascii="Arial" w:hAnsi="Arial"/>
          <w:color w:val="000000"/>
          <w:sz w:val="22"/>
        </w:rPr>
        <w:t> </w:t>
      </w:r>
      <w:r>
        <w:rPr>
          <w:rStyle w:val="normaltextrun"/>
          <w:rFonts w:ascii="Arial" w:hAnsi="Arial"/>
          <w:color w:val="000000"/>
          <w:sz w:val="22"/>
        </w:rPr>
        <w:t xml:space="preserve">: </w:t>
      </w:r>
      <w:r>
        <w:rPr>
          <w:rStyle w:val="eop"/>
          <w:rFonts w:ascii="Arial" w:hAnsi="Arial"/>
          <w:color w:val="000000"/>
          <w:sz w:val="22"/>
        </w:rPr>
        <w:t> </w:t>
      </w:r>
    </w:p>
    <w:p w14:paraId="64EAF56B" w14:textId="63E82AF2" w:rsidR="008630DC" w:rsidRDefault="008630DC" w:rsidP="001278B3">
      <w:pPr>
        <w:pStyle w:val="paragraph"/>
        <w:numPr>
          <w:ilvl w:val="0"/>
          <w:numId w:val="39"/>
        </w:numPr>
        <w:spacing w:before="0" w:beforeAutospacing="0" w:after="0" w:afterAutospacing="0"/>
        <w:ind w:left="1710" w:firstLine="0"/>
        <w:textAlignment w:val="baseline"/>
        <w:rPr>
          <w:rFonts w:ascii="Arial" w:hAnsi="Arial" w:cs="Arial"/>
          <w:sz w:val="22"/>
          <w:szCs w:val="22"/>
        </w:rPr>
      </w:pPr>
      <w:r>
        <w:rPr>
          <w:rStyle w:val="normaltextrun"/>
          <w:rFonts w:ascii="Arial" w:hAnsi="Arial"/>
          <w:color w:val="000000"/>
          <w:sz w:val="22"/>
        </w:rPr>
        <w:t>Chef de projet</w:t>
      </w:r>
      <w:r w:rsidR="00AE4BC5">
        <w:rPr>
          <w:rStyle w:val="normaltextrun"/>
          <w:rFonts w:ascii="Arial" w:hAnsi="Arial"/>
          <w:color w:val="000000"/>
          <w:sz w:val="22"/>
        </w:rPr>
        <w:t>/</w:t>
      </w:r>
      <w:r>
        <w:rPr>
          <w:rStyle w:val="normaltextrun"/>
          <w:rFonts w:ascii="Arial" w:hAnsi="Arial"/>
          <w:color w:val="000000"/>
          <w:sz w:val="22"/>
        </w:rPr>
        <w:t>spécialiste de haut niveau</w:t>
      </w:r>
      <w:r>
        <w:rPr>
          <w:rStyle w:val="eop"/>
          <w:rFonts w:ascii="Arial" w:hAnsi="Arial"/>
          <w:color w:val="000000"/>
          <w:sz w:val="22"/>
        </w:rPr>
        <w:t> </w:t>
      </w:r>
    </w:p>
    <w:p w14:paraId="24D5F53F" w14:textId="77777777" w:rsidR="008630DC" w:rsidRDefault="008630DC" w:rsidP="001278B3">
      <w:pPr>
        <w:pStyle w:val="paragraph"/>
        <w:numPr>
          <w:ilvl w:val="0"/>
          <w:numId w:val="40"/>
        </w:numPr>
        <w:spacing w:before="0" w:beforeAutospacing="0" w:after="0" w:afterAutospacing="0"/>
        <w:ind w:left="1710" w:firstLine="0"/>
        <w:textAlignment w:val="baseline"/>
        <w:rPr>
          <w:rFonts w:ascii="Arial" w:hAnsi="Arial" w:cs="Arial"/>
          <w:sz w:val="22"/>
          <w:szCs w:val="22"/>
        </w:rPr>
      </w:pPr>
      <w:r>
        <w:rPr>
          <w:rStyle w:val="normaltextrun"/>
          <w:rFonts w:ascii="Arial" w:hAnsi="Arial"/>
          <w:color w:val="000000"/>
          <w:sz w:val="22"/>
        </w:rPr>
        <w:t>Chercheur/analyste de niveau intermédiaire</w:t>
      </w:r>
      <w:r>
        <w:rPr>
          <w:rStyle w:val="eop"/>
          <w:rFonts w:ascii="Arial" w:hAnsi="Arial"/>
          <w:color w:val="000000"/>
          <w:sz w:val="22"/>
        </w:rPr>
        <w:t> </w:t>
      </w:r>
    </w:p>
    <w:p w14:paraId="6430D636" w14:textId="6390E303" w:rsidR="00D335A2" w:rsidRDefault="00D335A2" w:rsidP="001278B3">
      <w:pPr>
        <w:pBdr>
          <w:top w:val="nil"/>
          <w:left w:val="nil"/>
          <w:bottom w:val="nil"/>
          <w:right w:val="nil"/>
          <w:between w:val="nil"/>
        </w:pBdr>
        <w:spacing w:after="0" w:line="240" w:lineRule="auto"/>
        <w:ind w:left="720"/>
        <w:jc w:val="both"/>
        <w:rPr>
          <w:rFonts w:ascii="Arial" w:eastAsia="Times New Roman" w:hAnsi="Arial" w:cs="Arial"/>
          <w:lang w:val="en-US"/>
        </w:rPr>
      </w:pPr>
    </w:p>
    <w:p w14:paraId="7BBB82AB" w14:textId="77777777" w:rsidR="008630DC" w:rsidRPr="0072267E" w:rsidRDefault="008630DC" w:rsidP="001278B3">
      <w:pPr>
        <w:pBdr>
          <w:top w:val="nil"/>
          <w:left w:val="nil"/>
          <w:bottom w:val="nil"/>
          <w:right w:val="nil"/>
          <w:between w:val="nil"/>
        </w:pBdr>
        <w:spacing w:after="0" w:line="240" w:lineRule="auto"/>
        <w:ind w:left="720"/>
        <w:jc w:val="both"/>
        <w:rPr>
          <w:rFonts w:ascii="Arial" w:eastAsia="Times New Roman" w:hAnsi="Arial" w:cs="Arial"/>
          <w:sz w:val="18"/>
          <w:szCs w:val="18"/>
          <w:lang w:val="en-US"/>
        </w:rPr>
      </w:pPr>
    </w:p>
    <w:p w14:paraId="4096CC27" w14:textId="5CC47AA7" w:rsidR="00D335A2" w:rsidRPr="0072267E" w:rsidRDefault="00D335A2"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Niveau d</w:t>
      </w:r>
      <w:r w:rsidR="00AE4BC5">
        <w:rPr>
          <w:rFonts w:ascii="Arial" w:hAnsi="Arial"/>
          <w:b/>
          <w:color w:val="000000"/>
        </w:rPr>
        <w:t>’</w:t>
      </w:r>
      <w:r>
        <w:rPr>
          <w:rFonts w:ascii="Arial" w:hAnsi="Arial"/>
          <w:b/>
          <w:color w:val="000000"/>
        </w:rPr>
        <w:t>effort pour les considérations budgétaires. </w:t>
      </w:r>
    </w:p>
    <w:p w14:paraId="7422DBA4" w14:textId="1B5B27BD" w:rsidR="00D335A2" w:rsidRPr="0072267E" w:rsidRDefault="00D335A2" w:rsidP="001278B3">
      <w:pPr>
        <w:pBdr>
          <w:top w:val="nil"/>
          <w:left w:val="nil"/>
          <w:bottom w:val="nil"/>
          <w:right w:val="nil"/>
          <w:between w:val="nil"/>
        </w:pBdr>
        <w:spacing w:after="0" w:line="240" w:lineRule="auto"/>
        <w:ind w:left="720"/>
        <w:jc w:val="both"/>
        <w:rPr>
          <w:rFonts w:ascii="Arial" w:eastAsia="Times New Roman" w:hAnsi="Arial" w:cs="Arial"/>
          <w:sz w:val="18"/>
          <w:szCs w:val="18"/>
        </w:rPr>
      </w:pPr>
      <w:proofErr w:type="spellStart"/>
      <w:r>
        <w:rPr>
          <w:rFonts w:ascii="Arial" w:hAnsi="Arial"/>
        </w:rPr>
        <w:t>Xanadu</w:t>
      </w:r>
      <w:proofErr w:type="spellEnd"/>
      <w:r>
        <w:rPr>
          <w:rFonts w:ascii="Arial" w:hAnsi="Arial"/>
        </w:rPr>
        <w:t xml:space="preserve"> étant un pays fictif, choisissez un </w:t>
      </w:r>
      <w:r w:rsidR="00AE4BC5">
        <w:rPr>
          <w:rFonts w:ascii="Arial" w:hAnsi="Arial"/>
        </w:rPr>
        <w:t>—</w:t>
      </w:r>
      <w:r>
        <w:rPr>
          <w:rFonts w:ascii="Arial" w:hAnsi="Arial"/>
        </w:rPr>
        <w:t xml:space="preserve"> et un seul </w:t>
      </w:r>
      <w:r w:rsidR="00AE4BC5">
        <w:rPr>
          <w:rFonts w:ascii="Arial" w:hAnsi="Arial"/>
        </w:rPr>
        <w:t>—</w:t>
      </w:r>
      <w:r>
        <w:rPr>
          <w:rFonts w:ascii="Arial" w:hAnsi="Arial"/>
        </w:rPr>
        <w:t xml:space="preserve"> des pays de référence énumérés ci-dessous comme base de votre proposition de LOE pour ce SOW fictif</w:t>
      </w:r>
      <w:r w:rsidR="00AE4BC5">
        <w:rPr>
          <w:rFonts w:ascii="Arial" w:hAnsi="Arial"/>
        </w:rPr>
        <w:t> </w:t>
      </w:r>
      <w:r>
        <w:rPr>
          <w:rFonts w:ascii="Arial" w:hAnsi="Arial"/>
        </w:rPr>
        <w:t xml:space="preserve">; sections D et E. </w:t>
      </w:r>
      <w:r>
        <w:rPr>
          <w:rFonts w:ascii="Arial" w:hAnsi="Arial"/>
          <w:u w:val="single"/>
        </w:rPr>
        <w:t>Vous ne pouvez pas choisir un pays dans lequel votre entreprise a son siège</w:t>
      </w:r>
      <w:r>
        <w:rPr>
          <w:rFonts w:ascii="Arial" w:hAnsi="Arial"/>
        </w:rPr>
        <w:t>. Le choix d</w:t>
      </w:r>
      <w:r w:rsidR="00AE4BC5">
        <w:rPr>
          <w:rFonts w:ascii="Arial" w:hAnsi="Arial"/>
        </w:rPr>
        <w:t>’</w:t>
      </w:r>
      <w:r>
        <w:rPr>
          <w:rFonts w:ascii="Arial" w:hAnsi="Arial"/>
        </w:rPr>
        <w:t>un pays ne signifie pas que vous avez ou pourriez effectuer des travaux dans ce pays.  </w:t>
      </w:r>
    </w:p>
    <w:tbl>
      <w:tblPr>
        <w:tblW w:w="432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72267E" w14:paraId="07B3D69F"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17CDAFE2" w:rsidR="00D335A2" w:rsidRPr="0072267E" w:rsidRDefault="00D335A2" w:rsidP="001278B3">
            <w:pPr>
              <w:spacing w:after="0" w:line="240" w:lineRule="auto"/>
              <w:jc w:val="both"/>
              <w:textAlignment w:val="baseline"/>
              <w:divId w:val="628046606"/>
              <w:rPr>
                <w:rFonts w:ascii="Arial" w:eastAsia="Times New Roman" w:hAnsi="Arial" w:cs="Arial"/>
                <w:sz w:val="24"/>
                <w:szCs w:val="24"/>
              </w:rPr>
            </w:pPr>
            <w:r>
              <w:rPr>
                <w:rFonts w:ascii="Arial" w:hAnsi="Arial"/>
              </w:rPr>
              <w:t> Pays de référence (n</w:t>
            </w:r>
            <w:r w:rsidR="00AE4BC5">
              <w:rPr>
                <w:rFonts w:ascii="Arial" w:hAnsi="Arial"/>
              </w:rPr>
              <w:t>’</w:t>
            </w:r>
            <w:r>
              <w:rPr>
                <w:rFonts w:ascii="Arial" w:hAnsi="Arial"/>
              </w:rPr>
              <w:t>en choisissez qu</w:t>
            </w:r>
            <w:r w:rsidR="00AE4BC5">
              <w:rPr>
                <w:rFonts w:ascii="Arial" w:hAnsi="Arial"/>
              </w:rPr>
              <w:t>’</w:t>
            </w:r>
            <w:r>
              <w:rPr>
                <w:rFonts w:ascii="Arial" w:hAnsi="Arial"/>
              </w:rPr>
              <w:t>un) </w:t>
            </w:r>
          </w:p>
        </w:tc>
      </w:tr>
      <w:tr w:rsidR="00D335A2" w:rsidRPr="0072267E" w14:paraId="5F341FB8"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72267E" w:rsidRDefault="00D335A2" w:rsidP="001278B3">
            <w:pPr>
              <w:numPr>
                <w:ilvl w:val="0"/>
                <w:numId w:val="22"/>
              </w:numPr>
              <w:spacing w:after="0" w:line="240" w:lineRule="auto"/>
              <w:ind w:left="1080" w:firstLine="0"/>
              <w:jc w:val="both"/>
              <w:textAlignment w:val="baseline"/>
              <w:rPr>
                <w:rFonts w:ascii="Arial" w:eastAsia="Times New Roman" w:hAnsi="Arial" w:cs="Arial"/>
              </w:rPr>
            </w:pPr>
            <w:r>
              <w:rPr>
                <w:rFonts w:ascii="Arial" w:hAnsi="Arial"/>
              </w:rPr>
              <w:t>Guatemala  </w:t>
            </w:r>
          </w:p>
        </w:tc>
      </w:tr>
      <w:tr w:rsidR="00D335A2" w:rsidRPr="0072267E" w14:paraId="552378F1"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72267E" w:rsidRDefault="00D335A2" w:rsidP="001278B3">
            <w:pPr>
              <w:numPr>
                <w:ilvl w:val="0"/>
                <w:numId w:val="23"/>
              </w:numPr>
              <w:spacing w:after="0" w:line="240" w:lineRule="auto"/>
              <w:ind w:left="1080" w:firstLine="0"/>
              <w:jc w:val="both"/>
              <w:textAlignment w:val="baseline"/>
              <w:rPr>
                <w:rFonts w:ascii="Arial" w:eastAsia="Times New Roman" w:hAnsi="Arial" w:cs="Arial"/>
              </w:rPr>
            </w:pPr>
            <w:r>
              <w:rPr>
                <w:rFonts w:ascii="Arial" w:hAnsi="Arial"/>
              </w:rPr>
              <w:t>Colombie </w:t>
            </w:r>
          </w:p>
        </w:tc>
      </w:tr>
      <w:tr w:rsidR="00D335A2" w:rsidRPr="0072267E" w14:paraId="545F1A34"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72267E" w:rsidRDefault="00D335A2" w:rsidP="001278B3">
            <w:pPr>
              <w:numPr>
                <w:ilvl w:val="0"/>
                <w:numId w:val="24"/>
              </w:numPr>
              <w:spacing w:after="0" w:line="240" w:lineRule="auto"/>
              <w:ind w:left="1080" w:firstLine="0"/>
              <w:jc w:val="both"/>
              <w:textAlignment w:val="baseline"/>
              <w:rPr>
                <w:rFonts w:ascii="Arial" w:eastAsia="Times New Roman" w:hAnsi="Arial" w:cs="Arial"/>
              </w:rPr>
            </w:pPr>
            <w:r>
              <w:rPr>
                <w:rFonts w:ascii="Arial" w:hAnsi="Arial"/>
              </w:rPr>
              <w:t>Burkina Faso </w:t>
            </w:r>
          </w:p>
        </w:tc>
      </w:tr>
      <w:tr w:rsidR="00D335A2" w:rsidRPr="0072267E" w14:paraId="5B7F2562"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72267E" w:rsidRDefault="00D335A2" w:rsidP="001278B3">
            <w:pPr>
              <w:numPr>
                <w:ilvl w:val="0"/>
                <w:numId w:val="25"/>
              </w:numPr>
              <w:spacing w:after="0" w:line="240" w:lineRule="auto"/>
              <w:ind w:left="1080" w:firstLine="0"/>
              <w:jc w:val="both"/>
              <w:textAlignment w:val="baseline"/>
              <w:rPr>
                <w:rFonts w:ascii="Arial" w:eastAsia="Times New Roman" w:hAnsi="Arial" w:cs="Arial"/>
              </w:rPr>
            </w:pPr>
            <w:r>
              <w:rPr>
                <w:rFonts w:ascii="Arial" w:hAnsi="Arial"/>
              </w:rPr>
              <w:t>Sénégal </w:t>
            </w:r>
          </w:p>
        </w:tc>
      </w:tr>
      <w:tr w:rsidR="00D335A2" w:rsidRPr="0072267E" w14:paraId="5B238C83"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72267E" w:rsidRDefault="00D335A2" w:rsidP="001278B3">
            <w:pPr>
              <w:numPr>
                <w:ilvl w:val="0"/>
                <w:numId w:val="26"/>
              </w:numPr>
              <w:spacing w:after="0" w:line="240" w:lineRule="auto"/>
              <w:ind w:left="1080" w:firstLine="0"/>
              <w:jc w:val="both"/>
              <w:textAlignment w:val="baseline"/>
              <w:rPr>
                <w:rFonts w:ascii="Arial" w:eastAsia="Times New Roman" w:hAnsi="Arial" w:cs="Arial"/>
              </w:rPr>
            </w:pPr>
            <w:r>
              <w:rPr>
                <w:rFonts w:ascii="Arial" w:hAnsi="Arial"/>
              </w:rPr>
              <w:t>Ouganda </w:t>
            </w:r>
          </w:p>
        </w:tc>
      </w:tr>
      <w:tr w:rsidR="00D335A2" w:rsidRPr="0072267E" w14:paraId="0E39718B"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72267E" w:rsidRDefault="00D335A2" w:rsidP="001278B3">
            <w:pPr>
              <w:numPr>
                <w:ilvl w:val="0"/>
                <w:numId w:val="27"/>
              </w:numPr>
              <w:spacing w:after="0" w:line="240" w:lineRule="auto"/>
              <w:ind w:left="1080" w:firstLine="0"/>
              <w:jc w:val="both"/>
              <w:textAlignment w:val="baseline"/>
              <w:rPr>
                <w:rFonts w:ascii="Arial" w:eastAsia="Times New Roman" w:hAnsi="Arial" w:cs="Arial"/>
              </w:rPr>
            </w:pPr>
            <w:r>
              <w:rPr>
                <w:rFonts w:ascii="Arial" w:hAnsi="Arial"/>
              </w:rPr>
              <w:t>Éthiopie </w:t>
            </w:r>
          </w:p>
        </w:tc>
      </w:tr>
      <w:tr w:rsidR="00D335A2" w:rsidRPr="0072267E" w14:paraId="543E5720"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72267E" w:rsidRDefault="00D335A2" w:rsidP="001278B3">
            <w:pPr>
              <w:numPr>
                <w:ilvl w:val="0"/>
                <w:numId w:val="28"/>
              </w:numPr>
              <w:spacing w:after="0" w:line="240" w:lineRule="auto"/>
              <w:ind w:left="1080" w:firstLine="0"/>
              <w:jc w:val="both"/>
              <w:textAlignment w:val="baseline"/>
              <w:rPr>
                <w:rFonts w:ascii="Arial" w:eastAsia="Times New Roman" w:hAnsi="Arial" w:cs="Arial"/>
              </w:rPr>
            </w:pPr>
            <w:r>
              <w:rPr>
                <w:rFonts w:ascii="Arial" w:hAnsi="Arial"/>
              </w:rPr>
              <w:t>Irak </w:t>
            </w:r>
          </w:p>
        </w:tc>
      </w:tr>
      <w:tr w:rsidR="00D335A2" w:rsidRPr="0072267E" w14:paraId="263B03FC"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72267E" w:rsidRDefault="00D335A2" w:rsidP="001278B3">
            <w:pPr>
              <w:numPr>
                <w:ilvl w:val="0"/>
                <w:numId w:val="29"/>
              </w:numPr>
              <w:spacing w:after="0" w:line="240" w:lineRule="auto"/>
              <w:ind w:left="1080" w:firstLine="0"/>
              <w:jc w:val="both"/>
              <w:textAlignment w:val="baseline"/>
              <w:rPr>
                <w:rFonts w:ascii="Arial" w:eastAsia="Times New Roman" w:hAnsi="Arial" w:cs="Arial"/>
              </w:rPr>
            </w:pPr>
            <w:r>
              <w:rPr>
                <w:rFonts w:ascii="Arial" w:hAnsi="Arial"/>
              </w:rPr>
              <w:t>Afghanistan  </w:t>
            </w:r>
          </w:p>
        </w:tc>
      </w:tr>
      <w:tr w:rsidR="00D335A2" w:rsidRPr="0072267E" w14:paraId="52420CAC"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72267E" w:rsidRDefault="00D335A2" w:rsidP="001278B3">
            <w:pPr>
              <w:numPr>
                <w:ilvl w:val="0"/>
                <w:numId w:val="30"/>
              </w:numPr>
              <w:spacing w:after="0" w:line="240" w:lineRule="auto"/>
              <w:ind w:left="1080" w:firstLine="0"/>
              <w:jc w:val="both"/>
              <w:textAlignment w:val="baseline"/>
              <w:rPr>
                <w:rFonts w:ascii="Arial" w:eastAsia="Times New Roman" w:hAnsi="Arial" w:cs="Arial"/>
              </w:rPr>
            </w:pPr>
            <w:r>
              <w:rPr>
                <w:rFonts w:ascii="Arial" w:hAnsi="Arial"/>
              </w:rPr>
              <w:t>Népal </w:t>
            </w:r>
          </w:p>
        </w:tc>
      </w:tr>
      <w:tr w:rsidR="00D335A2" w:rsidRPr="0072267E" w14:paraId="7FB897E8" w14:textId="77777777" w:rsidTr="00C36226">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72267E" w:rsidRDefault="00D335A2" w:rsidP="001278B3">
            <w:pPr>
              <w:numPr>
                <w:ilvl w:val="0"/>
                <w:numId w:val="31"/>
              </w:numPr>
              <w:spacing w:after="0" w:line="240" w:lineRule="auto"/>
              <w:ind w:left="1080" w:firstLine="0"/>
              <w:jc w:val="both"/>
              <w:textAlignment w:val="baseline"/>
              <w:rPr>
                <w:rFonts w:ascii="Arial" w:eastAsia="Times New Roman" w:hAnsi="Arial" w:cs="Arial"/>
              </w:rPr>
            </w:pPr>
            <w:r>
              <w:rPr>
                <w:rFonts w:ascii="Arial" w:hAnsi="Arial"/>
              </w:rPr>
              <w:t>Indonésie </w:t>
            </w:r>
          </w:p>
        </w:tc>
      </w:tr>
    </w:tbl>
    <w:p w14:paraId="67A8AD91" w14:textId="77777777" w:rsidR="00D335A2" w:rsidRPr="0072267E" w:rsidRDefault="00D335A2" w:rsidP="001278B3">
      <w:pPr>
        <w:spacing w:after="0" w:line="240" w:lineRule="auto"/>
        <w:jc w:val="both"/>
        <w:textAlignment w:val="baseline"/>
        <w:rPr>
          <w:rFonts w:ascii="Arial" w:eastAsia="Times New Roman" w:hAnsi="Arial" w:cs="Arial"/>
          <w:sz w:val="18"/>
          <w:szCs w:val="18"/>
        </w:rPr>
      </w:pPr>
      <w:r>
        <w:rPr>
          <w:rFonts w:ascii="Arial" w:hAnsi="Arial"/>
        </w:rPr>
        <w:t> </w:t>
      </w:r>
    </w:p>
    <w:p w14:paraId="36968909" w14:textId="2AD41193" w:rsidR="00D335A2" w:rsidRPr="0072267E" w:rsidRDefault="00D335A2" w:rsidP="001278B3">
      <w:pPr>
        <w:spacing w:after="0" w:line="240" w:lineRule="auto"/>
        <w:jc w:val="both"/>
        <w:textAlignment w:val="baseline"/>
        <w:rPr>
          <w:rFonts w:ascii="Arial" w:eastAsia="Times New Roman" w:hAnsi="Arial" w:cs="Arial"/>
          <w:sz w:val="18"/>
          <w:szCs w:val="18"/>
        </w:rPr>
      </w:pPr>
      <w:r>
        <w:rPr>
          <w:rFonts w:ascii="Arial" w:hAnsi="Arial"/>
        </w:rPr>
        <w:t> </w:t>
      </w:r>
    </w:p>
    <w:p w14:paraId="6AA19D7B" w14:textId="57713DC0" w:rsidR="00BB0030" w:rsidRPr="0072267E" w:rsidRDefault="00C36226"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Calendrier</w:t>
      </w:r>
    </w:p>
    <w:p w14:paraId="0D924628" w14:textId="3C97DF89" w:rsidR="00275BEC" w:rsidRPr="00275BEC" w:rsidRDefault="00275BEC" w:rsidP="001278B3">
      <w:pPr>
        <w:pStyle w:val="ListParagraph"/>
        <w:jc w:val="both"/>
        <w:rPr>
          <w:rFonts w:ascii="Arial" w:hAnsi="Arial" w:cs="Arial"/>
          <w:bCs/>
          <w:sz w:val="22"/>
          <w:szCs w:val="22"/>
        </w:rPr>
      </w:pPr>
      <w:r>
        <w:rPr>
          <w:rFonts w:ascii="Arial" w:hAnsi="Arial"/>
          <w:sz w:val="22"/>
        </w:rPr>
        <w:t>Le cabinet doit proposer un calendrier de haut niveau pour la réalisation de cette étude et la remise du rapport final au plus tard le 31</w:t>
      </w:r>
      <w:r w:rsidR="00AE4BC5">
        <w:rPr>
          <w:rFonts w:ascii="Arial" w:hAnsi="Arial"/>
          <w:sz w:val="22"/>
        </w:rPr>
        <w:t> </w:t>
      </w:r>
      <w:r>
        <w:rPr>
          <w:rFonts w:ascii="Arial" w:hAnsi="Arial"/>
          <w:sz w:val="22"/>
        </w:rPr>
        <w:t>mars 2024. Le calendrier proposé doit être cohérent avec les ressources allouées dans les sections techniques et les lettres d</w:t>
      </w:r>
      <w:r w:rsidR="00AE4BC5">
        <w:rPr>
          <w:rFonts w:ascii="Arial" w:hAnsi="Arial"/>
          <w:sz w:val="22"/>
        </w:rPr>
        <w:t>’</w:t>
      </w:r>
      <w:r>
        <w:rPr>
          <w:rFonts w:ascii="Arial" w:hAnsi="Arial"/>
          <w:sz w:val="22"/>
        </w:rPr>
        <w:t xml:space="preserve">intention des propositions. </w:t>
      </w:r>
    </w:p>
    <w:p w14:paraId="1A3A3FE7" w14:textId="2499C33B" w:rsidR="00675B71" w:rsidRPr="0072267E" w:rsidRDefault="00675B71" w:rsidP="001278B3">
      <w:pPr>
        <w:spacing w:line="240" w:lineRule="auto"/>
        <w:rPr>
          <w:rFonts w:ascii="Arial" w:hAnsi="Arial" w:cs="Arial"/>
          <w:highlight w:val="white"/>
        </w:rPr>
      </w:pPr>
    </w:p>
    <w:p w14:paraId="4537D406" w14:textId="57007308" w:rsidR="00BB0030" w:rsidRPr="0072267E" w:rsidRDefault="00D13EDF" w:rsidP="001278B3">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Structure du rapport final</w:t>
      </w:r>
    </w:p>
    <w:p w14:paraId="368BBDEC" w14:textId="2967522E"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Page de titre</w:t>
      </w:r>
      <w:r w:rsidR="00AE4BC5">
        <w:rPr>
          <w:rFonts w:ascii="Arial" w:hAnsi="Arial"/>
          <w:color w:val="000000"/>
        </w:rPr>
        <w:t> </w:t>
      </w:r>
      <w:r>
        <w:rPr>
          <w:rFonts w:ascii="Arial" w:hAnsi="Arial"/>
          <w:color w:val="000000"/>
        </w:rPr>
        <w:t xml:space="preserve">; introduction </w:t>
      </w:r>
    </w:p>
    <w:p w14:paraId="2A01C72D" w14:textId="77777777"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Résumé exécutif</w:t>
      </w:r>
    </w:p>
    <w:p w14:paraId="2142C4EB" w14:textId="77777777"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Contexte/compréhension du contexte (géographie, économie, environnement, pollution, climat, démographie, sécurité, nature et statut des systèmes juridiques, politiques et économiques)</w:t>
      </w:r>
    </w:p>
    <w:p w14:paraId="19892E5C" w14:textId="5203F641" w:rsidR="00D13EDF" w:rsidRPr="0072267E" w:rsidRDefault="00420BA4"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Analyse de l</w:t>
      </w:r>
      <w:r w:rsidR="00AE4BC5">
        <w:rPr>
          <w:rFonts w:ascii="Arial" w:hAnsi="Arial"/>
          <w:color w:val="000000"/>
        </w:rPr>
        <w:t>’</w:t>
      </w:r>
      <w:r>
        <w:rPr>
          <w:rFonts w:ascii="Arial" w:hAnsi="Arial"/>
          <w:color w:val="000000"/>
        </w:rPr>
        <w:t>économie politique Champ d</w:t>
      </w:r>
      <w:r w:rsidR="00AE4BC5">
        <w:rPr>
          <w:rFonts w:ascii="Arial" w:hAnsi="Arial"/>
          <w:color w:val="000000"/>
        </w:rPr>
        <w:t>’</w:t>
      </w:r>
      <w:r>
        <w:rPr>
          <w:rFonts w:ascii="Arial" w:hAnsi="Arial"/>
          <w:color w:val="000000"/>
        </w:rPr>
        <w:t xml:space="preserve">application </w:t>
      </w:r>
    </w:p>
    <w:p w14:paraId="3EC441BC" w14:textId="77777777"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Objectif </w:t>
      </w:r>
    </w:p>
    <w:p w14:paraId="0A1A99A0" w14:textId="7D0B00D7"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Questions </w:t>
      </w:r>
      <w:r w:rsidR="00AE4BC5">
        <w:rPr>
          <w:rFonts w:ascii="Arial" w:hAnsi="Arial"/>
          <w:color w:val="000000"/>
        </w:rPr>
        <w:t>—</w:t>
      </w:r>
      <w:r>
        <w:rPr>
          <w:rFonts w:ascii="Arial" w:hAnsi="Arial"/>
          <w:color w:val="000000"/>
        </w:rPr>
        <w:t xml:space="preserve"> couvrant les domaines, les obstacles et les opportunités </w:t>
      </w:r>
    </w:p>
    <w:p w14:paraId="398437D0" w14:textId="77777777"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Méthodologie et processus </w:t>
      </w:r>
    </w:p>
    <w:p w14:paraId="205DF23E" w14:textId="2A2C2128"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Conception de l</w:t>
      </w:r>
      <w:r w:rsidR="00AE4BC5">
        <w:rPr>
          <w:rFonts w:ascii="Arial" w:hAnsi="Arial"/>
          <w:color w:val="000000"/>
        </w:rPr>
        <w:t>’</w:t>
      </w:r>
      <w:r>
        <w:rPr>
          <w:rFonts w:ascii="Arial" w:hAnsi="Arial"/>
          <w:color w:val="000000"/>
        </w:rPr>
        <w:t xml:space="preserve">étude (répondants, outils et méthodes de collecte de données, calendrier, équipe) </w:t>
      </w:r>
    </w:p>
    <w:p w14:paraId="4F22F988" w14:textId="7A00C87B"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Résultats </w:t>
      </w:r>
      <w:r w:rsidR="00AE4BC5">
        <w:rPr>
          <w:rFonts w:ascii="Arial" w:hAnsi="Arial"/>
          <w:color w:val="000000"/>
        </w:rPr>
        <w:t>—</w:t>
      </w:r>
      <w:r>
        <w:rPr>
          <w:rFonts w:ascii="Arial" w:hAnsi="Arial"/>
          <w:color w:val="000000"/>
        </w:rPr>
        <w:t xml:space="preserve"> couvrant les domaines, les obstacles et les opportunités </w:t>
      </w:r>
    </w:p>
    <w:p w14:paraId="46E9DD1B" w14:textId="7E91E15D" w:rsidR="00D13EDF" w:rsidRPr="0072267E" w:rsidRDefault="00D13EDF" w:rsidP="001278B3">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Recommandations </w:t>
      </w:r>
    </w:p>
    <w:sectPr w:rsidR="00D13EDF" w:rsidRPr="0072267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71E4" w14:textId="77777777" w:rsidR="00D95035" w:rsidRDefault="00D95035" w:rsidP="00AE4BC5">
      <w:pPr>
        <w:spacing w:after="0" w:line="240" w:lineRule="auto"/>
      </w:pPr>
      <w:r>
        <w:separator/>
      </w:r>
    </w:p>
  </w:endnote>
  <w:endnote w:type="continuationSeparator" w:id="0">
    <w:p w14:paraId="7577595C" w14:textId="77777777" w:rsidR="00D95035" w:rsidRDefault="00D95035" w:rsidP="00A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B438" w14:textId="77777777" w:rsidR="00D95035" w:rsidRDefault="00D95035" w:rsidP="00AE4BC5">
      <w:pPr>
        <w:spacing w:after="0" w:line="240" w:lineRule="auto"/>
      </w:pPr>
      <w:r>
        <w:separator/>
      </w:r>
    </w:p>
  </w:footnote>
  <w:footnote w:type="continuationSeparator" w:id="0">
    <w:p w14:paraId="66053D6A" w14:textId="77777777" w:rsidR="00D95035" w:rsidRDefault="00D95035" w:rsidP="00AE4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76C6DB0"/>
    <w:multiLevelType w:val="multilevel"/>
    <w:tmpl w:val="AF641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358D2"/>
    <w:multiLevelType w:val="multilevel"/>
    <w:tmpl w:val="7F10E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4906"/>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A34012"/>
    <w:multiLevelType w:val="hybridMultilevel"/>
    <w:tmpl w:val="681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238E"/>
    <w:multiLevelType w:val="multilevel"/>
    <w:tmpl w:val="5C58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742D7"/>
    <w:multiLevelType w:val="multilevel"/>
    <w:tmpl w:val="F168C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245E62"/>
    <w:multiLevelType w:val="multilevel"/>
    <w:tmpl w:val="6628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E494E"/>
    <w:multiLevelType w:val="multilevel"/>
    <w:tmpl w:val="108C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7"/>
  </w:num>
  <w:num w:numId="2" w16cid:durableId="563881276">
    <w:abstractNumId w:val="1"/>
  </w:num>
  <w:num w:numId="3" w16cid:durableId="104085666">
    <w:abstractNumId w:val="10"/>
  </w:num>
  <w:num w:numId="4" w16cid:durableId="1521046268">
    <w:abstractNumId w:val="38"/>
  </w:num>
  <w:num w:numId="5" w16cid:durableId="1761753037">
    <w:abstractNumId w:val="6"/>
  </w:num>
  <w:num w:numId="6" w16cid:durableId="2031055989">
    <w:abstractNumId w:val="14"/>
  </w:num>
  <w:num w:numId="7" w16cid:durableId="1147093995">
    <w:abstractNumId w:val="32"/>
  </w:num>
  <w:num w:numId="8" w16cid:durableId="2109229796">
    <w:abstractNumId w:val="27"/>
  </w:num>
  <w:num w:numId="9" w16cid:durableId="254822829">
    <w:abstractNumId w:val="31"/>
  </w:num>
  <w:num w:numId="10" w16cid:durableId="1153138449">
    <w:abstractNumId w:val="11"/>
  </w:num>
  <w:num w:numId="11" w16cid:durableId="1313095386">
    <w:abstractNumId w:val="2"/>
  </w:num>
  <w:num w:numId="12" w16cid:durableId="1871606195">
    <w:abstractNumId w:val="18"/>
  </w:num>
  <w:num w:numId="13" w16cid:durableId="1283226175">
    <w:abstractNumId w:val="34"/>
  </w:num>
  <w:num w:numId="14" w16cid:durableId="571083545">
    <w:abstractNumId w:val="16"/>
  </w:num>
  <w:num w:numId="15" w16cid:durableId="1546336648">
    <w:abstractNumId w:val="33"/>
  </w:num>
  <w:num w:numId="16" w16cid:durableId="410155270">
    <w:abstractNumId w:val="15"/>
  </w:num>
  <w:num w:numId="17" w16cid:durableId="1843624768">
    <w:abstractNumId w:val="28"/>
  </w:num>
  <w:num w:numId="18" w16cid:durableId="1555196387">
    <w:abstractNumId w:val="3"/>
  </w:num>
  <w:num w:numId="19" w16cid:durableId="586157151">
    <w:abstractNumId w:val="0"/>
  </w:num>
  <w:num w:numId="20" w16cid:durableId="1961840137">
    <w:abstractNumId w:val="9"/>
  </w:num>
  <w:num w:numId="21" w16cid:durableId="124203811">
    <w:abstractNumId w:val="21"/>
  </w:num>
  <w:num w:numId="22" w16cid:durableId="1594583005">
    <w:abstractNumId w:val="12"/>
  </w:num>
  <w:num w:numId="23" w16cid:durableId="1354965197">
    <w:abstractNumId w:val="25"/>
  </w:num>
  <w:num w:numId="24" w16cid:durableId="355472622">
    <w:abstractNumId w:val="26"/>
  </w:num>
  <w:num w:numId="25" w16cid:durableId="616915000">
    <w:abstractNumId w:val="30"/>
  </w:num>
  <w:num w:numId="26" w16cid:durableId="35932191">
    <w:abstractNumId w:val="7"/>
  </w:num>
  <w:num w:numId="27" w16cid:durableId="410199088">
    <w:abstractNumId w:val="35"/>
  </w:num>
  <w:num w:numId="28" w16cid:durableId="147946875">
    <w:abstractNumId w:val="39"/>
  </w:num>
  <w:num w:numId="29" w16cid:durableId="575357128">
    <w:abstractNumId w:val="22"/>
  </w:num>
  <w:num w:numId="30" w16cid:durableId="121271800">
    <w:abstractNumId w:val="37"/>
  </w:num>
  <w:num w:numId="31" w16cid:durableId="1947542137">
    <w:abstractNumId w:val="5"/>
  </w:num>
  <w:num w:numId="32" w16cid:durableId="1352033228">
    <w:abstractNumId w:val="29"/>
  </w:num>
  <w:num w:numId="33" w16cid:durableId="777918990">
    <w:abstractNumId w:val="19"/>
  </w:num>
  <w:num w:numId="34" w16cid:durableId="541020486">
    <w:abstractNumId w:val="13"/>
  </w:num>
  <w:num w:numId="35" w16cid:durableId="2074617961">
    <w:abstractNumId w:val="4"/>
  </w:num>
  <w:num w:numId="36" w16cid:durableId="1193886469">
    <w:abstractNumId w:val="36"/>
  </w:num>
  <w:num w:numId="37" w16cid:durableId="1900245885">
    <w:abstractNumId w:val="24"/>
  </w:num>
  <w:num w:numId="38" w16cid:durableId="462694742">
    <w:abstractNumId w:val="23"/>
  </w:num>
  <w:num w:numId="39" w16cid:durableId="145099462">
    <w:abstractNumId w:val="20"/>
  </w:num>
  <w:num w:numId="40" w16cid:durableId="1441145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27059"/>
    <w:rsid w:val="0003622C"/>
    <w:rsid w:val="00064B31"/>
    <w:rsid w:val="000660BD"/>
    <w:rsid w:val="0008399C"/>
    <w:rsid w:val="00124831"/>
    <w:rsid w:val="001278B3"/>
    <w:rsid w:val="00145737"/>
    <w:rsid w:val="00175F92"/>
    <w:rsid w:val="001971A6"/>
    <w:rsid w:val="001F69F2"/>
    <w:rsid w:val="0025477D"/>
    <w:rsid w:val="00275BEC"/>
    <w:rsid w:val="002B6D44"/>
    <w:rsid w:val="002C7815"/>
    <w:rsid w:val="002E0BBB"/>
    <w:rsid w:val="00343286"/>
    <w:rsid w:val="003D3078"/>
    <w:rsid w:val="00420BA4"/>
    <w:rsid w:val="00471693"/>
    <w:rsid w:val="00484FAA"/>
    <w:rsid w:val="005B0A1F"/>
    <w:rsid w:val="00612A99"/>
    <w:rsid w:val="006454BC"/>
    <w:rsid w:val="00675B71"/>
    <w:rsid w:val="0072267E"/>
    <w:rsid w:val="007A6973"/>
    <w:rsid w:val="007F6BE7"/>
    <w:rsid w:val="008630DC"/>
    <w:rsid w:val="008678A9"/>
    <w:rsid w:val="009646F3"/>
    <w:rsid w:val="009C0770"/>
    <w:rsid w:val="009C571D"/>
    <w:rsid w:val="00AE4BC5"/>
    <w:rsid w:val="00B23049"/>
    <w:rsid w:val="00BB0030"/>
    <w:rsid w:val="00C05BF4"/>
    <w:rsid w:val="00C36226"/>
    <w:rsid w:val="00CC04B1"/>
    <w:rsid w:val="00CF7F8E"/>
    <w:rsid w:val="00D13EDF"/>
    <w:rsid w:val="00D335A2"/>
    <w:rsid w:val="00D57238"/>
    <w:rsid w:val="00D95035"/>
    <w:rsid w:val="00E12138"/>
    <w:rsid w:val="00E32B3A"/>
    <w:rsid w:val="00EF1E50"/>
    <w:rsid w:val="00EF3CB7"/>
    <w:rsid w:val="00F36B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AE4BC5"/>
    <w:pPr>
      <w:spacing w:after="0" w:line="240" w:lineRule="auto"/>
    </w:pPr>
  </w:style>
  <w:style w:type="paragraph" w:styleId="Header">
    <w:name w:val="header"/>
    <w:basedOn w:val="Normal"/>
    <w:link w:val="HeaderChar"/>
    <w:uiPriority w:val="99"/>
    <w:unhideWhenUsed/>
    <w:rsid w:val="00AE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BC5"/>
  </w:style>
  <w:style w:type="paragraph" w:styleId="Footer">
    <w:name w:val="footer"/>
    <w:basedOn w:val="Normal"/>
    <w:link w:val="FooterChar"/>
    <w:uiPriority w:val="99"/>
    <w:unhideWhenUsed/>
    <w:rsid w:val="00AE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881934089">
      <w:bodyDiv w:val="1"/>
      <w:marLeft w:val="0"/>
      <w:marRight w:val="0"/>
      <w:marTop w:val="0"/>
      <w:marBottom w:val="0"/>
      <w:divBdr>
        <w:top w:val="none" w:sz="0" w:space="0" w:color="auto"/>
        <w:left w:val="none" w:sz="0" w:space="0" w:color="auto"/>
        <w:bottom w:val="none" w:sz="0" w:space="0" w:color="auto"/>
        <w:right w:val="none" w:sz="0" w:space="0" w:color="auto"/>
      </w:divBdr>
      <w:divsChild>
        <w:div w:id="903180667">
          <w:marLeft w:val="0"/>
          <w:marRight w:val="0"/>
          <w:marTop w:val="0"/>
          <w:marBottom w:val="0"/>
          <w:divBdr>
            <w:top w:val="none" w:sz="0" w:space="0" w:color="auto"/>
            <w:left w:val="none" w:sz="0" w:space="0" w:color="auto"/>
            <w:bottom w:val="none" w:sz="0" w:space="0" w:color="auto"/>
            <w:right w:val="none" w:sz="0" w:space="0" w:color="auto"/>
          </w:divBdr>
        </w:div>
        <w:div w:id="2086100882">
          <w:marLeft w:val="0"/>
          <w:marRight w:val="0"/>
          <w:marTop w:val="0"/>
          <w:marBottom w:val="0"/>
          <w:divBdr>
            <w:top w:val="none" w:sz="0" w:space="0" w:color="auto"/>
            <w:left w:val="none" w:sz="0" w:space="0" w:color="auto"/>
            <w:bottom w:val="none" w:sz="0" w:space="0" w:color="auto"/>
            <w:right w:val="none" w:sz="0" w:space="0" w:color="auto"/>
          </w:divBdr>
        </w:div>
        <w:div w:id="278681462">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852">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2.xml><?xml version="1.0" encoding="utf-8"?>
<ds:datastoreItem xmlns:ds="http://schemas.openxmlformats.org/officeDocument/2006/customXml" ds:itemID="{31B03359-639E-4556-B577-6AC2F6A758F6}"/>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4</cp:revision>
  <dcterms:created xsi:type="dcterms:W3CDTF">2023-10-23T19:28:00Z</dcterms:created>
  <dcterms:modified xsi:type="dcterms:W3CDTF">2023-10-24T13:09:00Z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