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Programa/ Título</w:t>
            </w:r>
          </w:p>
        </w:tc>
        <w:tc>
          <w:tcPr>
            <w:tcW w:w="7185" w:type="dxa"/>
            <w:shd w:val="clear" w:color="auto" w:fill="auto"/>
            <w:tcMar>
              <w:top w:w="100" w:type="dxa"/>
              <w:left w:w="100" w:type="dxa"/>
              <w:bottom w:w="100" w:type="dxa"/>
              <w:right w:w="100" w:type="dxa"/>
            </w:tcMar>
          </w:tcPr>
          <w:p w14:paraId="66C4A3FF" w14:textId="46766EB5"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Iniciativa Pastoral de Resiliencia (PRI)</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Ubicación(es) del programa</w:t>
            </w:r>
          </w:p>
        </w:tc>
        <w:tc>
          <w:tcPr>
            <w:tcW w:w="7185" w:type="dxa"/>
            <w:shd w:val="clear" w:color="auto" w:fill="auto"/>
            <w:tcMar>
              <w:top w:w="100" w:type="dxa"/>
              <w:left w:w="100" w:type="dxa"/>
              <w:bottom w:w="100" w:type="dxa"/>
              <w:right w:w="100" w:type="dxa"/>
            </w:tcMar>
          </w:tcPr>
          <w:p w14:paraId="47F4F324" w14:textId="767CAC2F"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Jalanda; todo el país; sin litoral</w:t>
            </w:r>
            <w:r w:rsidR="006B5589">
              <w:rPr>
                <w:rFonts w:ascii="Arial" w:hAnsi="Arial"/>
                <w:b/>
                <w:color w:val="5A5555"/>
                <w:sz w:val="17"/>
                <w:highlight w:val="white"/>
              </w:rPr>
              <w:t>,</w:t>
            </w:r>
            <w:r>
              <w:rPr>
                <w:rFonts w:ascii="Arial" w:hAnsi="Arial"/>
                <w:b/>
                <w:color w:val="5A5555"/>
                <w:sz w:val="17"/>
                <w:highlight w:val="white"/>
              </w:rPr>
              <w:t xml:space="preserve"> de aproximadamente 36.000 kilómetros cuadrados que limita con otros 6 países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Duración</w:t>
            </w:r>
          </w:p>
        </w:tc>
        <w:tc>
          <w:tcPr>
            <w:tcW w:w="7185" w:type="dxa"/>
            <w:shd w:val="clear" w:color="auto" w:fill="auto"/>
            <w:tcMar>
              <w:top w:w="100" w:type="dxa"/>
              <w:left w:w="100" w:type="dxa"/>
              <w:bottom w:w="100" w:type="dxa"/>
              <w:right w:w="100" w:type="dxa"/>
            </w:tcMar>
          </w:tcPr>
          <w:p w14:paraId="77958FAC" w14:textId="572F148C" w:rsidR="00A529F8" w:rsidRPr="00056B16" w:rsidRDefault="00891021"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 xml:space="preserve">El trabajo debe iniciarse poco después de la puesta en marcha del programa (1 de octubre de 2023) y el informe final debe presentarse al menos seis meses antes de la conclusión del programa (31 de septiembre de 2026)  </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Pr>
          <w:rFonts w:ascii="Arial" w:hAnsi="Arial"/>
          <w:b/>
          <w:color w:val="666666"/>
        </w:rPr>
        <w:t xml:space="preserve">Antecedentes </w:t>
      </w:r>
    </w:p>
    <w:p w14:paraId="19DBD109" w14:textId="77777777" w:rsidR="00B35A18" w:rsidRPr="00056B16" w:rsidRDefault="00B35A18" w:rsidP="00A529F8">
      <w:pPr>
        <w:spacing w:after="0" w:line="240" w:lineRule="auto"/>
        <w:jc w:val="both"/>
        <w:rPr>
          <w:rFonts w:ascii="Arial" w:hAnsi="Arial" w:cs="Arial"/>
          <w:b/>
          <w:color w:val="666666"/>
        </w:rPr>
      </w:pPr>
    </w:p>
    <w:p w14:paraId="01D3339F" w14:textId="00C5AB70" w:rsidR="00D33256" w:rsidRDefault="005C31DD" w:rsidP="00A529F8">
      <w:pPr>
        <w:spacing w:after="0" w:line="240" w:lineRule="auto"/>
        <w:jc w:val="both"/>
        <w:rPr>
          <w:rFonts w:ascii="Arial" w:hAnsi="Arial" w:cs="Arial"/>
        </w:rPr>
      </w:pPr>
      <w:r>
        <w:rPr>
          <w:rFonts w:ascii="Arial" w:hAnsi="Arial"/>
        </w:rPr>
        <w:t xml:space="preserve">La Iniciativa de Resiliencia Pastoral se realizará en Jalanda, un país sin litoral fronterizo con otros seis países, con límites administrativos de cinco provincias y múltiples condados dentro de cada provincia, seguidos de distritos, barrios y aldeas. El país se enfrenta a numerosos desafíos de desarrollo derivados del efecto combinado de los conflictos históricos y actuales entre las comunidades de pastores por el acceso a los recursos de agua y pastos, exacerbados por las crisis climáticas y económicas que han provocado desplazamientos, pérdida de medios de subsistencia, pérdida de propiedades y bienes, destrucción de infraestructuras y mercados disfuncionales, entre otros. Estas crisis también han aumentado las tensiones intercomunitarias, ya que se ha incrementado la presión sobre los limitados recursos disponibles. En respuesta a algunas de estas crisis, los hogares se han visto obligados a recurrir a mecanismos de supervivencia negativos que siguen minando sus oportunidades económicas inmediatas y a largo plazo.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Programa que debe evaluarse </w:t>
      </w:r>
    </w:p>
    <w:p w14:paraId="7C30FB73" w14:textId="1961494C" w:rsidR="001F0526" w:rsidRPr="00056B16" w:rsidRDefault="001661B2" w:rsidP="00A529F8">
      <w:pPr>
        <w:spacing w:after="0" w:line="240" w:lineRule="auto"/>
        <w:ind w:left="360"/>
        <w:jc w:val="both"/>
        <w:rPr>
          <w:rFonts w:ascii="Arial" w:hAnsi="Arial" w:cs="Arial"/>
        </w:rPr>
      </w:pPr>
      <w:r>
        <w:rPr>
          <w:rFonts w:ascii="Arial" w:hAnsi="Arial"/>
        </w:rPr>
        <w:t xml:space="preserve">Este programa trienal se iniciará el 1 de octubre de 2023 y finalizará el 31 de septiembre de 2026.  Mercy Corps lidera el consorcio formado por dos ONG locales (Jalanda Cooperation Association y Pastoral Relief Organization), y la ONG internacional Worldwide Relief Everywhere.  PRI actúa en cuatro condados de Maraluna Este y dos condados de Maraluna Oeste; dos condados de Maraluna Este (Lakuna e Isoka) son en ocasiones inaccesibles durante las fuertes lluvias.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Pr>
          <w:rFonts w:ascii="Arial" w:hAnsi="Arial"/>
        </w:rPr>
        <w:t xml:space="preserve">El marco de resultados del programa es: </w:t>
      </w:r>
    </w:p>
    <w:p w14:paraId="26598ACE" w14:textId="409D294D" w:rsidR="00A12EEF" w:rsidRPr="00056B16" w:rsidRDefault="00B54482" w:rsidP="00B54482">
      <w:pPr>
        <w:spacing w:after="0" w:line="240" w:lineRule="auto"/>
        <w:ind w:left="360"/>
        <w:jc w:val="center"/>
        <w:rPr>
          <w:rFonts w:ascii="Arial" w:hAnsi="Arial" w:cs="Arial"/>
        </w:rPr>
      </w:pPr>
      <w:r>
        <w:rPr>
          <w:rFonts w:ascii="Arial" w:hAnsi="Arial"/>
          <w:noProof/>
        </w:rPr>
        <w:lastRenderedPageBreak/>
        <w:drawing>
          <wp:inline distT="0" distB="0" distL="0" distR="0" wp14:anchorId="2F5B82DE" wp14:editId="458A31CE">
            <wp:extent cx="3977640" cy="3180826"/>
            <wp:effectExtent l="0" t="0" r="3810" b="635"/>
            <wp:docPr id="19140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962" t="3362" r="20582" b="13430"/>
                    <a:stretch/>
                  </pic:blipFill>
                  <pic:spPr bwMode="auto">
                    <a:xfrm>
                      <a:off x="0" y="0"/>
                      <a:ext cx="3986621" cy="3188008"/>
                    </a:xfrm>
                    <a:prstGeom prst="rect">
                      <a:avLst/>
                    </a:prstGeom>
                    <a:noFill/>
                    <a:ln>
                      <a:noFill/>
                    </a:ln>
                    <a:extLst>
                      <a:ext uri="{53640926-AAD7-44D8-BBD7-CCE9431645EC}">
                        <a14:shadowObscured xmlns:a14="http://schemas.microsoft.com/office/drawing/2010/main"/>
                      </a:ext>
                    </a:extLst>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bookmarkStart w:id="0" w:name="_Hlk148020044"/>
      <w:r>
        <w:rPr>
          <w:rFonts w:ascii="Arial" w:hAnsi="Arial"/>
        </w:rPr>
        <w:t>Las intervenciones clave son:</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C23A7E">
        <w:trPr>
          <w:cantSplit/>
          <w:trHeight w:val="305"/>
        </w:trPr>
        <w:tc>
          <w:tcPr>
            <w:tcW w:w="9270" w:type="dxa"/>
          </w:tcPr>
          <w:p w14:paraId="171F74E3" w14:textId="3BB2791C" w:rsidR="00A62733" w:rsidRPr="00056B16" w:rsidRDefault="00A62733" w:rsidP="0084741A">
            <w:pPr>
              <w:jc w:val="center"/>
              <w:rPr>
                <w:rFonts w:ascii="Arial" w:hAnsi="Arial" w:cs="Arial"/>
                <w:b/>
                <w:color w:val="000000" w:themeColor="text1"/>
                <w:sz w:val="18"/>
                <w:szCs w:val="18"/>
                <w:highlight w:val="white"/>
              </w:rPr>
            </w:pPr>
            <w:r>
              <w:rPr>
                <w:rFonts w:ascii="Arial" w:hAnsi="Arial"/>
                <w:b/>
                <w:color w:val="000000" w:themeColor="text1"/>
                <w:sz w:val="18"/>
                <w:highlight w:val="white"/>
              </w:rPr>
              <w:t xml:space="preserve">Título y descripción de las intervenciones clave </w:t>
            </w:r>
            <w:proofErr w:type="gramStart"/>
            <w:r>
              <w:rPr>
                <w:rFonts w:ascii="Arial" w:hAnsi="Arial"/>
                <w:b/>
                <w:color w:val="000000" w:themeColor="text1"/>
                <w:sz w:val="18"/>
                <w:highlight w:val="white"/>
              </w:rPr>
              <w:t>de PRI</w:t>
            </w:r>
            <w:proofErr w:type="gramEnd"/>
          </w:p>
        </w:tc>
      </w:tr>
      <w:tr w:rsidR="00A62733" w:rsidRPr="00056B16" w14:paraId="1985A564" w14:textId="77777777" w:rsidTr="00A62733">
        <w:trPr>
          <w:cantSplit/>
        </w:trPr>
        <w:tc>
          <w:tcPr>
            <w:tcW w:w="9270" w:type="dxa"/>
          </w:tcPr>
          <w:p w14:paraId="5D99BEB5" w14:textId="00AADE2E" w:rsidR="00B54482" w:rsidRPr="00B54482" w:rsidRDefault="00B54482" w:rsidP="00B54482">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Apoyo a los planes comunitarios de gestión del riesgo de catástrofes</w:t>
            </w:r>
          </w:p>
          <w:p w14:paraId="593320FE" w14:textId="68FC7328" w:rsidR="00A62733" w:rsidRPr="00056B16" w:rsidRDefault="00B54482" w:rsidP="00E95199">
            <w:pPr>
              <w:rPr>
                <w:rFonts w:ascii="Arial" w:hAnsi="Arial" w:cs="Arial"/>
                <w:bCs/>
                <w:color w:val="000000" w:themeColor="text1"/>
                <w:sz w:val="18"/>
                <w:szCs w:val="18"/>
                <w:highlight w:val="white"/>
              </w:rPr>
            </w:pPr>
            <w:r>
              <w:rPr>
                <w:rFonts w:ascii="Arial" w:hAnsi="Arial"/>
                <w:color w:val="000000" w:themeColor="text1"/>
                <w:sz w:val="18"/>
              </w:rPr>
              <w:t>PRI reforzará las capacidades de resiliencia de los hogares y las comunidades apoyando el análisis, la planificación y la acción a nivel comunitario dirigidos por el gobierno en relación con la gestión del riesgo de catástrofes (DRM, por sus siglas en inglés) y la adaptación al cambio climático, ayudando a mejorar la adaptación de las comunidades al clima cambiante.</w:t>
            </w:r>
          </w:p>
        </w:tc>
      </w:tr>
      <w:tr w:rsidR="0075418C" w:rsidRPr="00056B16" w14:paraId="5C712C1E" w14:textId="77777777" w:rsidTr="00A62733">
        <w:trPr>
          <w:cantSplit/>
        </w:trPr>
        <w:tc>
          <w:tcPr>
            <w:tcW w:w="9270" w:type="dxa"/>
          </w:tcPr>
          <w:p w14:paraId="52AF1BBB" w14:textId="53C7BD05" w:rsidR="0075418C" w:rsidRPr="0075418C" w:rsidRDefault="0075418C" w:rsidP="0075418C">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Mejora de las estructuras de comunicación de la información de alerta temprana</w:t>
            </w:r>
          </w:p>
          <w:p w14:paraId="1031AAC6" w14:textId="460CCC4F" w:rsidR="0075418C" w:rsidRPr="0075418C" w:rsidRDefault="0075418C" w:rsidP="0075418C">
            <w:pPr>
              <w:rPr>
                <w:rFonts w:ascii="Arial" w:hAnsi="Arial" w:cs="Arial"/>
                <w:bCs/>
                <w:color w:val="000000" w:themeColor="text1"/>
                <w:sz w:val="18"/>
                <w:szCs w:val="18"/>
              </w:rPr>
            </w:pPr>
            <w:r>
              <w:rPr>
                <w:rFonts w:ascii="Arial" w:hAnsi="Arial"/>
                <w:color w:val="000000" w:themeColor="text1"/>
                <w:sz w:val="18"/>
              </w:rPr>
              <w:t xml:space="preserve">A fin de garantizar que la información de alerta temprana se comparta de forma coordinada, PRI reforzará los mecanismos de comunicación entre las comunidades y los distintos niveles administrativos del gobierno. PRI hará un mapeo y analizará cómo se genera y difunde la información de los sistemas de alerta temprana (EWS, por sus siglas en inglés) y de los conflictos para informar reformas más amplias del sistema. El enfoque de PRI consiste en garantizar que los flujos de información sobre la DRM sean bidireccionales y que la información se comparta oportunamente en función de fechas importantes del calendario relacionadas con acontecimientos estacionales; por ejemplo, antes y después de la temporada de lluvias. </w:t>
            </w:r>
          </w:p>
        </w:tc>
      </w:tr>
      <w:tr w:rsidR="00E2672B" w:rsidRPr="00056B16" w14:paraId="06953A6D" w14:textId="77777777" w:rsidTr="00A62733">
        <w:trPr>
          <w:cantSplit/>
        </w:trPr>
        <w:tc>
          <w:tcPr>
            <w:tcW w:w="9270" w:type="dxa"/>
          </w:tcPr>
          <w:p w14:paraId="622146FA" w14:textId="43277F0F" w:rsidR="00E2672B" w:rsidRPr="00E2672B" w:rsidRDefault="00E2672B" w:rsidP="00F96063">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Desarrollo de las capacidades de los grupos objetivo para mejorar los conocimientos, las habilidades y las prácticas para una producción ganadera productiva, climáticamente inteligente, sensible a los conflictos y que apoye la nutrición.</w:t>
            </w:r>
          </w:p>
          <w:p w14:paraId="719BF1B9" w14:textId="32BB6A00" w:rsidR="00E2672B" w:rsidRPr="00D8140C" w:rsidRDefault="00E2672B" w:rsidP="00E2672B">
            <w:pPr>
              <w:rPr>
                <w:rFonts w:ascii="Arial" w:hAnsi="Arial" w:cs="Arial"/>
                <w:bCs/>
                <w:color w:val="000000" w:themeColor="text1"/>
                <w:sz w:val="18"/>
                <w:szCs w:val="18"/>
              </w:rPr>
            </w:pPr>
            <w:r>
              <w:rPr>
                <w:rFonts w:ascii="Arial" w:hAnsi="Arial"/>
                <w:color w:val="000000" w:themeColor="text1"/>
                <w:sz w:val="18"/>
              </w:rPr>
              <w:t>Con un enfoque de sistemas de mercado, PRI trabajará con actores clave del gobierno, el sector privado y las comunidades para ayudar a desarrollar la capacidad y crear un entorno propicio para el crecimiento del mercado. Desarrollo de capacidades: El PRI trabajará con las oficinas regionales de agricultura y pastoreo para desarrollar un manual contextualizado de servicios de extensión para el pastoreo que transforme las cuestiones de género en tres temas clave: producción, alimentación y gestión de pastos y pastizales. El PRI apoyará los esfuerzos del gobierno para fortalecer y poner en funcionamiento las escuelas de campo de pastoreo como una modalidad clave para prestar servicios de extensión de pastoreo.</w:t>
            </w:r>
          </w:p>
        </w:tc>
      </w:tr>
      <w:tr w:rsidR="00E2672B" w:rsidRPr="00056B16" w14:paraId="2C69DFBB" w14:textId="77777777" w:rsidTr="00A62733">
        <w:trPr>
          <w:cantSplit/>
        </w:trPr>
        <w:tc>
          <w:tcPr>
            <w:tcW w:w="9270" w:type="dxa"/>
          </w:tcPr>
          <w:p w14:paraId="442F348A" w14:textId="77777777" w:rsidR="00E95199" w:rsidRDefault="00E95199" w:rsidP="00D35846">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lastRenderedPageBreak/>
              <w:t xml:space="preserve">Los pastores y agropastores acceden y utilizan servicios de salud animal y cría impulsados por el mercado para una producción ganadera resistente. </w:t>
            </w:r>
          </w:p>
          <w:p w14:paraId="3F43F063" w14:textId="21963314" w:rsidR="00E2672B" w:rsidRPr="00056B16" w:rsidRDefault="00E95199" w:rsidP="00E95199">
            <w:pPr>
              <w:rPr>
                <w:rFonts w:ascii="Arial" w:hAnsi="Arial" w:cs="Arial"/>
                <w:bCs/>
                <w:color w:val="000000" w:themeColor="text1"/>
                <w:sz w:val="18"/>
                <w:szCs w:val="18"/>
                <w:highlight w:val="white"/>
              </w:rPr>
            </w:pPr>
            <w:r>
              <w:rPr>
                <w:rFonts w:ascii="Arial" w:hAnsi="Arial"/>
                <w:color w:val="000000" w:themeColor="text1"/>
                <w:sz w:val="18"/>
              </w:rPr>
              <w:t>Debido al aumento de la fragmentación y degradación de los pastizales en la última década, los insumos y servicios son cada vez más importantes para los ganaderos. PRI desarrollará las habilidades empresariales de una red de trabajadores comunitarios de salud animal (CAHWs) y veterinarios</w:t>
            </w:r>
            <w:r w:rsidR="006B5589">
              <w:rPr>
                <w:rFonts w:ascii="Arial" w:hAnsi="Arial"/>
                <w:color w:val="000000" w:themeColor="text1"/>
                <w:sz w:val="18"/>
              </w:rPr>
              <w:t xml:space="preserve">; asimismo </w:t>
            </w:r>
            <w:r>
              <w:rPr>
                <w:rFonts w:ascii="Arial" w:hAnsi="Arial"/>
                <w:color w:val="000000" w:themeColor="text1"/>
                <w:sz w:val="18"/>
              </w:rPr>
              <w:t xml:space="preserve">actuará como proveedor de servicios de última milla para vincular a los pastores que viven en zonas remotas con los puntos de venta veterinarios, que a su vez apoyarán a los veterinarios CAHWs. PRI también vinculará esa red de proveedores de servicios de última milla con las instituciones financieras. </w:t>
            </w:r>
          </w:p>
        </w:tc>
      </w:tr>
      <w:tr w:rsidR="00E2672B" w:rsidRPr="00056B16" w14:paraId="7E69F51B" w14:textId="77777777" w:rsidTr="00A62733">
        <w:trPr>
          <w:cantSplit/>
        </w:trPr>
        <w:tc>
          <w:tcPr>
            <w:tcW w:w="9270" w:type="dxa"/>
          </w:tcPr>
          <w:p w14:paraId="2304420D" w14:textId="77777777" w:rsidR="0048625F" w:rsidRPr="0048625F" w:rsidRDefault="0048625F" w:rsidP="0048625F">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rPr>
              <w:t>Mejora de la gestión de los pastizales para una producción sostenida</w:t>
            </w:r>
          </w:p>
          <w:p w14:paraId="6E062FF0" w14:textId="16E33CE9" w:rsidR="0048625F" w:rsidRPr="0048625F" w:rsidRDefault="0048625F" w:rsidP="0048625F">
            <w:pPr>
              <w:rPr>
                <w:rFonts w:ascii="Arial" w:hAnsi="Arial" w:cs="Arial"/>
                <w:bCs/>
                <w:color w:val="000000" w:themeColor="text1"/>
                <w:sz w:val="18"/>
                <w:szCs w:val="18"/>
                <w:highlight w:val="white"/>
              </w:rPr>
            </w:pPr>
            <w:r>
              <w:rPr>
                <w:rFonts w:ascii="Arial" w:hAnsi="Arial"/>
                <w:color w:val="000000" w:themeColor="text1"/>
                <w:sz w:val="18"/>
              </w:rPr>
              <w:t>El PRI apoyará planes de gestión de pastizales polivalentes (uso de la tierra), así como el fortalecimiento de instituciones tradicionales, como los consejos de pastizales, para aplicar esos planes y trabajar con las comunidades, centrándose en la reducción de los conflictos relacionados con los recursos naturales. PRI se asegurará de que los derechos sobre la tierra y las actividades de productividad de la tierra se basen en un pensamiento de resiliencia y en prácticas sensibles a los conflictos. Las actividades incluirán la representación de todos los grupos políticos, étnicos y otros grupos de identidad, de forma que las decisiones tomadas en torno a la tenencia y el acceso a los pastizales y los recursos hídricos estén informadas por todas las partes interesadas</w:t>
            </w:r>
            <w:r w:rsidR="006B5589">
              <w:rPr>
                <w:rFonts w:ascii="Arial" w:hAnsi="Arial"/>
                <w:color w:val="000000" w:themeColor="text1"/>
                <w:sz w:val="18"/>
              </w:rPr>
              <w:t>,</w:t>
            </w:r>
            <w:r>
              <w:rPr>
                <w:rFonts w:ascii="Arial" w:hAnsi="Arial"/>
                <w:color w:val="000000" w:themeColor="text1"/>
                <w:sz w:val="18"/>
              </w:rPr>
              <w:t xml:space="preserve"> tengan más probabilidades de contar con un amplio apoyo y se</w:t>
            </w:r>
            <w:r w:rsidR="006B5589">
              <w:rPr>
                <w:rFonts w:ascii="Arial" w:hAnsi="Arial"/>
                <w:color w:val="000000" w:themeColor="text1"/>
                <w:sz w:val="18"/>
              </w:rPr>
              <w:t>an</w:t>
            </w:r>
            <w:r>
              <w:rPr>
                <w:rFonts w:ascii="Arial" w:hAnsi="Arial"/>
                <w:color w:val="000000" w:themeColor="text1"/>
                <w:sz w:val="18"/>
              </w:rPr>
              <w:t xml:space="preserve"> sostenibles.</w:t>
            </w:r>
          </w:p>
        </w:tc>
      </w:tr>
      <w:tr w:rsidR="00E2672B" w:rsidRPr="00056B16" w14:paraId="2E597675" w14:textId="77777777" w:rsidTr="00A62733">
        <w:trPr>
          <w:cantSplit/>
        </w:trPr>
        <w:tc>
          <w:tcPr>
            <w:tcW w:w="9270" w:type="dxa"/>
          </w:tcPr>
          <w:p w14:paraId="664419DB" w14:textId="77777777" w:rsidR="00706FD3" w:rsidRPr="00706FD3" w:rsidRDefault="00706FD3" w:rsidP="00706FD3">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rPr>
              <w:t>Mejora del acceso a las fuentes de agua para el consumo del ganado</w:t>
            </w:r>
          </w:p>
          <w:p w14:paraId="4898F0C4" w14:textId="26A46DA5" w:rsidR="00706FD3" w:rsidRPr="00706FD3" w:rsidRDefault="00706FD3" w:rsidP="00706FD3">
            <w:pPr>
              <w:rPr>
                <w:rFonts w:ascii="Arial" w:hAnsi="Arial" w:cs="Arial"/>
                <w:bCs/>
                <w:color w:val="000000" w:themeColor="text1"/>
                <w:sz w:val="18"/>
                <w:szCs w:val="18"/>
                <w:highlight w:val="white"/>
              </w:rPr>
            </w:pPr>
            <w:r>
              <w:rPr>
                <w:rFonts w:ascii="Arial" w:hAnsi="Arial"/>
                <w:color w:val="000000" w:themeColor="text1"/>
                <w:sz w:val="18"/>
              </w:rPr>
              <w:t>PRI abordará el acceso al agua para el consumo del ganado mediante el apoyo y la mejora de los sistemas formales e informales de gobernanza del agua, lo que incluye estudiar el papel de los actores del sector privado. PRI trabajará con un</w:t>
            </w:r>
            <w:r w:rsidR="006B5589">
              <w:rPr>
                <w:rFonts w:ascii="Arial" w:hAnsi="Arial"/>
                <w:color w:val="000000" w:themeColor="text1"/>
                <w:sz w:val="18"/>
              </w:rPr>
              <w:t xml:space="preserve"> par de </w:t>
            </w:r>
            <w:r>
              <w:rPr>
                <w:rFonts w:ascii="Arial" w:hAnsi="Arial"/>
                <w:color w:val="000000" w:themeColor="text1"/>
                <w:sz w:val="18"/>
              </w:rPr>
              <w:t>agentes del sector privado para desarrollar negocios y planes centrados en la comercialización del agua, además de facilitar la aplicación de estrategias que creen sistemas y acuerdos de gestión que garanticen el acceso de las mujeres. PRI pondrá a prueba la comercialización del agua en pequeñas instalaciones existentes. En segundo lugar, se prestará apoyo a la mejora de los sistemas de gobernanza del agua para las fuentes de agua existentes, incluidas las micropresas y los pozos de sondeo, con especial atención a la mitigación de los posibles conflictos y los impactos medioambientales.</w:t>
            </w:r>
          </w:p>
        </w:tc>
      </w:tr>
      <w:tr w:rsidR="00E2672B" w:rsidRPr="00056B16" w14:paraId="7DF3F706" w14:textId="77777777" w:rsidTr="00A62733">
        <w:trPr>
          <w:cantSplit/>
        </w:trPr>
        <w:tc>
          <w:tcPr>
            <w:tcW w:w="9270" w:type="dxa"/>
          </w:tcPr>
          <w:p w14:paraId="3B57B4AD" w14:textId="77777777" w:rsidR="00E2672B" w:rsidRDefault="00706FD3" w:rsidP="00706FD3">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highlight w:val="white"/>
              </w:rPr>
              <w:t>Mejora del acceso de los pastores a los servicios financieros</w:t>
            </w:r>
          </w:p>
          <w:p w14:paraId="36FF5F33" w14:textId="7573DBBB" w:rsidR="00706FD3" w:rsidRPr="00706FD3" w:rsidRDefault="00706FD3" w:rsidP="00706FD3">
            <w:pPr>
              <w:rPr>
                <w:rFonts w:ascii="Arial" w:hAnsi="Arial" w:cs="Arial"/>
                <w:bCs/>
                <w:color w:val="000000" w:themeColor="text1"/>
                <w:sz w:val="18"/>
                <w:szCs w:val="18"/>
                <w:highlight w:val="white"/>
              </w:rPr>
            </w:pPr>
            <w:r>
              <w:rPr>
                <w:rFonts w:ascii="Arial" w:hAnsi="Arial"/>
                <w:color w:val="000000" w:themeColor="text1"/>
                <w:sz w:val="18"/>
              </w:rPr>
              <w:t>Se desarrollarán productos y servicios financieros adaptados a los hogares y a los agentes del mercado para ayudar a proporcionar el capital necesario para la inversión y las necesidades operativas cotidianas. PRI estudiará la relación costo-beneficio de la cobertura gubernamental de las primas de seguros para los pastores, además de explorar cómo los planes de seguros pueden superponerse a los seguros tradicionales</w:t>
            </w:r>
            <w:r w:rsidR="006B5589">
              <w:rPr>
                <w:rFonts w:ascii="Arial" w:hAnsi="Arial"/>
                <w:color w:val="000000" w:themeColor="text1"/>
                <w:sz w:val="18"/>
              </w:rPr>
              <w:t>.</w:t>
            </w:r>
          </w:p>
        </w:tc>
      </w:tr>
      <w:bookmarkEnd w:id="0"/>
    </w:tbl>
    <w:p w14:paraId="7212D1AA" w14:textId="77777777" w:rsidR="00933617" w:rsidRPr="00056B16" w:rsidRDefault="00933617" w:rsidP="00A529F8">
      <w:pPr>
        <w:spacing w:after="0" w:line="240" w:lineRule="auto"/>
        <w:ind w:left="360"/>
        <w:jc w:val="both"/>
        <w:rPr>
          <w:rFonts w:ascii="Arial" w:hAnsi="Arial" w:cs="Arial"/>
        </w:rPr>
      </w:pPr>
    </w:p>
    <w:p w14:paraId="2EA96D43" w14:textId="50FD5B12"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2) </w:t>
      </w:r>
      <w:r>
        <w:rPr>
          <w:rFonts w:ascii="Arial" w:hAnsi="Arial"/>
          <w:b/>
          <w:color w:val="666666"/>
        </w:rPr>
        <w:tab/>
        <w:t>Finalidad y objetivos de la evaluación de impacto</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7F8A522A" w14:textId="77777777" w:rsidR="00D33256" w:rsidRDefault="008F6229" w:rsidP="00B9264E">
      <w:pPr>
        <w:widowControl w:val="0"/>
        <w:jc w:val="both"/>
        <w:rPr>
          <w:rFonts w:ascii="Arial" w:hAnsi="Arial" w:cs="Arial"/>
        </w:rPr>
      </w:pPr>
      <w:bookmarkStart w:id="1" w:name="_heading=h.gjdgxs"/>
      <w:bookmarkEnd w:id="1"/>
      <w:r>
        <w:rPr>
          <w:rFonts w:ascii="Arial" w:hAnsi="Arial"/>
        </w:rPr>
        <w:t xml:space="preserve">El propósito de esta evaluación de impacto es evaluar la eficacia de las intervenciones de PRI para lograr una mayor resiliencia y el desarrollo socioeconómico de los hogares y las comunidades de pastores. Mercy Corps busca un colaborador que pueda diseñar y llevar a cabo una evaluación de impacto sólida. El diseño de la evaluación de impacto se finalizará durante una fase de puesta en marcha de tres meses (de octubre a diciembre de 2023) y la línea de base de PRI se llevará a cabo a partir de enero de 2024. Durante la fase inicial, se elaborará un plan de implementación detallado junto con los evaluadores seleccionados. </w:t>
      </w:r>
    </w:p>
    <w:p w14:paraId="38D72159" w14:textId="2C59404F" w:rsidR="00C13215" w:rsidRDefault="00D33256" w:rsidP="00B9264E">
      <w:pPr>
        <w:widowControl w:val="0"/>
        <w:jc w:val="both"/>
        <w:rPr>
          <w:rFonts w:ascii="Arial" w:hAnsi="Arial" w:cs="Arial"/>
        </w:rPr>
      </w:pPr>
      <w:r>
        <w:rPr>
          <w:rFonts w:ascii="Arial" w:hAnsi="Arial"/>
        </w:rPr>
        <w:t xml:space="preserve">Los candidatos seleccionados deberán presentar un borrador de metodología de evaluación de impacto, el proceso mediante el cual perfeccionarán el enfoque de evaluación, </w:t>
      </w:r>
      <w:r w:rsidR="006B5589">
        <w:rPr>
          <w:rFonts w:ascii="Arial" w:hAnsi="Arial"/>
        </w:rPr>
        <w:t xml:space="preserve">así como </w:t>
      </w:r>
      <w:r>
        <w:rPr>
          <w:rFonts w:ascii="Arial" w:hAnsi="Arial"/>
        </w:rPr>
        <w:t xml:space="preserve">la información y decisiones clave necesarias para finalizar el diseño de la evaluación de impacto. </w:t>
      </w:r>
    </w:p>
    <w:p w14:paraId="622A97BD" w14:textId="527271EA" w:rsidR="00626246" w:rsidRPr="00056B16" w:rsidRDefault="00B90C55" w:rsidP="00726C3C">
      <w:pPr>
        <w:widowControl w:val="0"/>
        <w:jc w:val="both"/>
        <w:rPr>
          <w:rFonts w:ascii="Arial" w:hAnsi="Arial" w:cs="Arial"/>
        </w:rPr>
      </w:pPr>
      <w:r>
        <w:rPr>
          <w:rFonts w:ascii="Arial" w:hAnsi="Arial"/>
        </w:rPr>
        <w:lastRenderedPageBreak/>
        <w:t>Los objetivos específicos de la evaluación de impacto son:</w:t>
      </w:r>
    </w:p>
    <w:p w14:paraId="48D56EDC" w14:textId="3DB850DE" w:rsidR="00134F56" w:rsidRDefault="00134F56" w:rsidP="003A1863">
      <w:pPr>
        <w:pStyle w:val="ListParagraph"/>
        <w:widowControl w:val="0"/>
        <w:numPr>
          <w:ilvl w:val="0"/>
          <w:numId w:val="14"/>
        </w:numPr>
        <w:jc w:val="both"/>
        <w:rPr>
          <w:rFonts w:ascii="Arial" w:hAnsi="Arial" w:cs="Arial"/>
        </w:rPr>
      </w:pPr>
      <w:r>
        <w:rPr>
          <w:rFonts w:ascii="Arial" w:hAnsi="Arial"/>
        </w:rPr>
        <w:t>Evaluar rigurosamente la repercusión combinada de las actividades de los PRI para atribuir el cambio en los indicadores de resultados clave de interés a las intervenciones de los PRI sobre la base de un grupo de comparación mediante una evaluación de la repercusión experimental o cuasiexperimental</w:t>
      </w:r>
      <w:r w:rsidR="006B5589">
        <w:rPr>
          <w:rFonts w:ascii="Arial" w:hAnsi="Arial"/>
        </w:rPr>
        <w:t>.</w:t>
      </w:r>
    </w:p>
    <w:p w14:paraId="2C2178E5" w14:textId="3CF2B937" w:rsidR="00134F56" w:rsidRDefault="00134F56" w:rsidP="003A1863">
      <w:pPr>
        <w:pStyle w:val="ListParagraph"/>
        <w:widowControl w:val="0"/>
        <w:numPr>
          <w:ilvl w:val="0"/>
          <w:numId w:val="14"/>
        </w:numPr>
        <w:jc w:val="both"/>
        <w:rPr>
          <w:rFonts w:ascii="Arial" w:hAnsi="Arial" w:cs="Arial"/>
        </w:rPr>
      </w:pPr>
      <w:r>
        <w:rPr>
          <w:rFonts w:ascii="Arial" w:hAnsi="Arial"/>
        </w:rPr>
        <w:t xml:space="preserve">Probar la eficacia relativa de combinaciones específicas de actividades para determinar si se producen aumentos en la eficacia o eficiencia de las actividades combinadas. </w:t>
      </w:r>
    </w:p>
    <w:p w14:paraId="0BE9DF15" w14:textId="7704DC88" w:rsidR="00F96C21" w:rsidRPr="00B943ED" w:rsidRDefault="00134F56" w:rsidP="003A1863">
      <w:pPr>
        <w:pStyle w:val="ListParagraph"/>
        <w:widowControl w:val="0"/>
        <w:numPr>
          <w:ilvl w:val="0"/>
          <w:numId w:val="14"/>
        </w:numPr>
        <w:jc w:val="both"/>
        <w:rPr>
          <w:rFonts w:ascii="Arial" w:hAnsi="Arial" w:cs="Arial"/>
        </w:rPr>
      </w:pPr>
      <w:r>
        <w:rPr>
          <w:rFonts w:ascii="Arial" w:hAnsi="Arial"/>
        </w:rPr>
        <w:t xml:space="preserve">Determinar si </w:t>
      </w:r>
      <w:r w:rsidR="006B5589">
        <w:rPr>
          <w:rFonts w:ascii="Arial" w:hAnsi="Arial"/>
        </w:rPr>
        <w:t xml:space="preserve">ciertos </w:t>
      </w:r>
      <w:r>
        <w:rPr>
          <w:rFonts w:ascii="Arial" w:hAnsi="Arial"/>
        </w:rPr>
        <w:t xml:space="preserve">grupos se benefician de forma diferencial en relación con otros grupos, es decir, si las intervenciones de los PRI tienen un impacto similar en diferentes tipos de hogares, grupos marginados, hogares encabezados por mujeres, etc. </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623ED6F2" w:rsidR="00B753FE" w:rsidRPr="00056B16" w:rsidRDefault="005C31DD" w:rsidP="0084741A">
            <w:pPr>
              <w:pStyle w:val="NormalWeb"/>
              <w:spacing w:before="0" w:beforeAutospacing="0" w:after="160" w:afterAutospacing="0" w:line="360" w:lineRule="auto"/>
              <w:jc w:val="both"/>
              <w:rPr>
                <w:rFonts w:ascii="Arial" w:hAnsi="Arial" w:cs="Arial"/>
                <w:color w:val="000000"/>
                <w:sz w:val="22"/>
                <w:szCs w:val="22"/>
              </w:rPr>
            </w:pPr>
            <w:r>
              <w:rPr>
                <w:rFonts w:ascii="Arial" w:hAnsi="Arial"/>
                <w:b/>
                <w:sz w:val="22"/>
              </w:rPr>
              <w:t>Indicadores de resultados clave del PRI de interés para la evaluación de la repercusión</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B4B2807" w14:textId="31D86F70" w:rsidR="007705C5" w:rsidRPr="007705C5" w:rsidRDefault="007705C5" w:rsidP="007705C5">
            <w:pPr>
              <w:spacing w:after="0" w:line="240" w:lineRule="auto"/>
              <w:jc w:val="both"/>
              <w:rPr>
                <w:rFonts w:ascii="Arial" w:hAnsi="Arial" w:cs="Arial"/>
              </w:rPr>
            </w:pPr>
            <w:r>
              <w:rPr>
                <w:rFonts w:ascii="Arial" w:hAnsi="Arial"/>
              </w:rPr>
              <w:t>Indicadores de impacto</w:t>
            </w:r>
            <w:r w:rsidR="006B5589">
              <w:rPr>
                <w:rFonts w:ascii="Arial" w:hAnsi="Arial"/>
              </w:rPr>
              <w:t>:</w:t>
            </w:r>
          </w:p>
          <w:p w14:paraId="2CC62362" w14:textId="77777777" w:rsidR="00F17015" w:rsidRDefault="00F17015" w:rsidP="00F17015">
            <w:pPr>
              <w:pStyle w:val="ListParagraph"/>
              <w:numPr>
                <w:ilvl w:val="0"/>
                <w:numId w:val="12"/>
              </w:numPr>
              <w:spacing w:after="0" w:line="240" w:lineRule="auto"/>
              <w:jc w:val="both"/>
              <w:rPr>
                <w:rFonts w:ascii="Arial" w:hAnsi="Arial" w:cs="Arial"/>
              </w:rPr>
            </w:pPr>
            <w:r>
              <w:rPr>
                <w:rFonts w:ascii="Arial" w:hAnsi="Arial"/>
              </w:rPr>
              <w:t>Seguridad alimentaria de los hogares</w:t>
            </w:r>
          </w:p>
          <w:p w14:paraId="2E13D5F1" w14:textId="4C985B30" w:rsidR="007705C5" w:rsidRDefault="007705C5" w:rsidP="007705C5">
            <w:pPr>
              <w:pStyle w:val="ListParagraph"/>
              <w:numPr>
                <w:ilvl w:val="0"/>
                <w:numId w:val="12"/>
              </w:numPr>
              <w:spacing w:after="0" w:line="240" w:lineRule="auto"/>
              <w:jc w:val="both"/>
              <w:rPr>
                <w:rFonts w:ascii="Arial" w:hAnsi="Arial" w:cs="Arial"/>
              </w:rPr>
            </w:pPr>
            <w:r>
              <w:rPr>
                <w:rFonts w:ascii="Arial" w:hAnsi="Arial"/>
              </w:rPr>
              <w:t>Ingresos totales de</w:t>
            </w:r>
            <w:r w:rsidR="006B5589">
              <w:rPr>
                <w:rFonts w:ascii="Arial" w:hAnsi="Arial"/>
              </w:rPr>
              <w:t xml:space="preserve"> </w:t>
            </w:r>
            <w:r>
              <w:rPr>
                <w:rFonts w:ascii="Arial" w:hAnsi="Arial"/>
              </w:rPr>
              <w:t>l</w:t>
            </w:r>
            <w:r w:rsidR="006B5589">
              <w:rPr>
                <w:rFonts w:ascii="Arial" w:hAnsi="Arial"/>
              </w:rPr>
              <w:t>os</w:t>
            </w:r>
            <w:r>
              <w:rPr>
                <w:rFonts w:ascii="Arial" w:hAnsi="Arial"/>
              </w:rPr>
              <w:t xml:space="preserve"> hogar</w:t>
            </w:r>
            <w:r w:rsidR="006B5589">
              <w:rPr>
                <w:rFonts w:ascii="Arial" w:hAnsi="Arial"/>
              </w:rPr>
              <w:t>es</w:t>
            </w:r>
          </w:p>
          <w:p w14:paraId="68092057" w14:textId="77777777" w:rsidR="00B753FE" w:rsidRDefault="007705C5" w:rsidP="007705C5">
            <w:pPr>
              <w:pStyle w:val="ListParagraph"/>
              <w:numPr>
                <w:ilvl w:val="0"/>
                <w:numId w:val="12"/>
              </w:numPr>
              <w:spacing w:after="0" w:line="240" w:lineRule="auto"/>
              <w:jc w:val="both"/>
              <w:rPr>
                <w:rFonts w:ascii="Arial" w:hAnsi="Arial" w:cs="Arial"/>
              </w:rPr>
            </w:pPr>
            <w:r>
              <w:rPr>
                <w:rFonts w:ascii="Arial" w:hAnsi="Arial"/>
              </w:rPr>
              <w:t>Ingresos de los hogares procedentes de la producción ganadera</w:t>
            </w:r>
          </w:p>
          <w:p w14:paraId="57E3FC85" w14:textId="6AF47238" w:rsidR="007705C5" w:rsidRPr="007705C5" w:rsidRDefault="007705C5" w:rsidP="007705C5">
            <w:pPr>
              <w:pStyle w:val="ListParagraph"/>
              <w:numPr>
                <w:ilvl w:val="0"/>
                <w:numId w:val="12"/>
              </w:numPr>
              <w:spacing w:after="0" w:line="240" w:lineRule="auto"/>
              <w:jc w:val="both"/>
              <w:rPr>
                <w:rFonts w:ascii="Arial" w:hAnsi="Arial" w:cs="Arial"/>
              </w:rPr>
            </w:pPr>
            <w:r>
              <w:rPr>
                <w:rFonts w:ascii="Arial" w:hAnsi="Arial"/>
              </w:rPr>
              <w:t>Capacidad de los hogares para responder y recuperarse de las crisis</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78A5B0A1" w14:textId="77777777" w:rsidR="00B753FE" w:rsidRDefault="007705C5" w:rsidP="00041307">
            <w:pPr>
              <w:widowControl w:val="0"/>
              <w:spacing w:after="0" w:line="240" w:lineRule="auto"/>
              <w:jc w:val="both"/>
              <w:rPr>
                <w:rFonts w:ascii="Arial" w:hAnsi="Arial" w:cs="Arial"/>
              </w:rPr>
            </w:pPr>
            <w:r>
              <w:rPr>
                <w:rFonts w:ascii="Arial" w:hAnsi="Arial"/>
              </w:rPr>
              <w:t>Indicadores de resultados intermedios</w:t>
            </w:r>
          </w:p>
          <w:p w14:paraId="0D8F19C7"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Porcentaje de hogares conscientes de la DRM comunitaria</w:t>
            </w:r>
          </w:p>
          <w:p w14:paraId="16233313"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Producción ganadera</w:t>
            </w:r>
          </w:p>
          <w:p w14:paraId="73D39F37" w14:textId="03539FF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Acceso a</w:t>
            </w:r>
            <w:r w:rsidR="006B5589">
              <w:rPr>
                <w:rFonts w:ascii="Arial" w:hAnsi="Arial"/>
              </w:rPr>
              <w:t>l</w:t>
            </w:r>
            <w:r>
              <w:rPr>
                <w:rFonts w:ascii="Arial" w:hAnsi="Arial"/>
              </w:rPr>
              <w:t xml:space="preserve"> agua para uso animal</w:t>
            </w:r>
          </w:p>
          <w:p w14:paraId="324F7463" w14:textId="108D3256" w:rsidR="007705C5" w:rsidRP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Acceso a servicios financieros</w:t>
            </w:r>
            <w:r w:rsidR="006B5589">
              <w:rPr>
                <w:rFonts w:ascii="Arial" w:hAnsi="Arial"/>
              </w:rPr>
              <w:t xml:space="preserve">, </w:t>
            </w:r>
            <w:r>
              <w:rPr>
                <w:rFonts w:ascii="Arial" w:hAnsi="Arial"/>
              </w:rPr>
              <w:t>inclu</w:t>
            </w:r>
            <w:r w:rsidR="006B5589">
              <w:rPr>
                <w:rFonts w:ascii="Arial" w:hAnsi="Arial"/>
              </w:rPr>
              <w:t>ida</w:t>
            </w:r>
            <w:r>
              <w:rPr>
                <w:rFonts w:ascii="Arial" w:hAnsi="Arial"/>
              </w:rPr>
              <w:t xml:space="preserve"> la seguridad alimentaria</w:t>
            </w:r>
          </w:p>
        </w:tc>
      </w:tr>
    </w:tbl>
    <w:p w14:paraId="2BC4E3E2" w14:textId="3E9F97F9" w:rsidR="00726C3C" w:rsidRPr="007705C5" w:rsidRDefault="00726C3C" w:rsidP="007705C5">
      <w:pPr>
        <w:widowControl w:val="0"/>
        <w:jc w:val="both"/>
        <w:rPr>
          <w:rFonts w:ascii="Arial" w:hAnsi="Arial" w:cs="Arial"/>
        </w:rPr>
      </w:pPr>
      <w:r>
        <w:rPr>
          <w:rFonts w:ascii="Arial" w:hAnsi="Arial"/>
        </w:rPr>
        <w:t xml:space="preserve"> </w:t>
      </w:r>
    </w:p>
    <w:tbl>
      <w:tblPr>
        <w:tblStyle w:val="TableGrid"/>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12E9FFBC"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rPr>
              <w:t>No copie y pegue estos objetivos en su propuesta técnica. S</w:t>
            </w:r>
            <w:r w:rsidR="006B5589">
              <w:rPr>
                <w:rFonts w:ascii="Arial" w:hAnsi="Arial"/>
              </w:rPr>
              <w:t>o</w:t>
            </w:r>
            <w:r>
              <w:rPr>
                <w:rFonts w:ascii="Arial" w:hAnsi="Arial"/>
              </w:rPr>
              <w:t>lo tendrá que remitirse a este SOW si desea hacer referencia a los objetivos (p. ej</w:t>
            </w:r>
            <w:r w:rsidR="006B5589">
              <w:rPr>
                <w:rFonts w:ascii="Arial" w:hAnsi="Arial"/>
              </w:rPr>
              <w:t>.</w:t>
            </w:r>
            <w:r>
              <w:rPr>
                <w:rFonts w:ascii="Arial" w:hAnsi="Arial"/>
              </w:rPr>
              <w:t xml:space="preserve">, para alcanzar los objetivos 1, 2 o 3 del SOW, proponemos ...).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Pr>
          <w:rFonts w:ascii="Arial" w:hAnsi="Arial"/>
          <w:b/>
          <w:color w:val="666666"/>
        </w:rPr>
        <w:t>3)</w:t>
      </w:r>
      <w:r>
        <w:rPr>
          <w:rFonts w:ascii="Arial" w:hAnsi="Arial"/>
          <w:b/>
          <w:color w:val="666666"/>
        </w:rPr>
        <w:tab/>
        <w:t>Documentos pertinentes</w:t>
      </w:r>
      <w:r>
        <w:rPr>
          <w:rFonts w:ascii="Arial" w:hAnsi="Arial"/>
          <w:b/>
        </w:rPr>
        <w:tab/>
      </w:r>
    </w:p>
    <w:p w14:paraId="5ADA192D" w14:textId="360484F2" w:rsidR="00A529F8" w:rsidRPr="00056B16" w:rsidRDefault="009C7A34" w:rsidP="009C7A34">
      <w:pPr>
        <w:jc w:val="both"/>
        <w:rPr>
          <w:rFonts w:ascii="Arial" w:hAnsi="Arial" w:cs="Arial"/>
        </w:rPr>
      </w:pPr>
      <w:r>
        <w:rPr>
          <w:rFonts w:ascii="Arial" w:hAnsi="Arial"/>
        </w:rPr>
        <w:t xml:space="preserve">Los siguientes documentos se pondrán a disposición de la empresa </w:t>
      </w:r>
      <w:r w:rsidR="006B5589">
        <w:rPr>
          <w:rFonts w:ascii="Arial" w:hAnsi="Arial"/>
        </w:rPr>
        <w:t>adjudic</w:t>
      </w:r>
      <w:r w:rsidR="00504E08">
        <w:rPr>
          <w:rFonts w:ascii="Arial" w:hAnsi="Arial"/>
        </w:rPr>
        <w:t>a</w:t>
      </w:r>
      <w:r w:rsidR="006B5589">
        <w:rPr>
          <w:rFonts w:ascii="Arial" w:hAnsi="Arial"/>
        </w:rPr>
        <w:t xml:space="preserve">da </w:t>
      </w:r>
      <w:r>
        <w:rPr>
          <w:rFonts w:ascii="Arial" w:hAnsi="Arial"/>
        </w:rPr>
        <w:t xml:space="preserve">en los 3 días siguientes a la firma del contrato </w:t>
      </w:r>
    </w:p>
    <w:p w14:paraId="48E0341D" w14:textId="2BE7C339" w:rsidR="003A1863" w:rsidRPr="00056B16" w:rsidRDefault="003A1863" w:rsidP="003A1863">
      <w:pPr>
        <w:pStyle w:val="ListParagraph"/>
        <w:numPr>
          <w:ilvl w:val="0"/>
          <w:numId w:val="6"/>
        </w:numPr>
        <w:jc w:val="both"/>
        <w:rPr>
          <w:rFonts w:ascii="Arial" w:hAnsi="Arial" w:cs="Arial"/>
        </w:rPr>
      </w:pPr>
      <w:r>
        <w:rPr>
          <w:rFonts w:ascii="Arial" w:hAnsi="Arial"/>
        </w:rPr>
        <w:t xml:space="preserve">Tabla de seguimiento del rendimiento de los indicadores </w:t>
      </w:r>
    </w:p>
    <w:p w14:paraId="5C3C12DA" w14:textId="2F779DFD" w:rsidR="003A1863" w:rsidRPr="00056B16" w:rsidRDefault="003A1863" w:rsidP="003A1863">
      <w:pPr>
        <w:pStyle w:val="ListParagraph"/>
        <w:numPr>
          <w:ilvl w:val="0"/>
          <w:numId w:val="6"/>
        </w:numPr>
        <w:jc w:val="both"/>
        <w:rPr>
          <w:rFonts w:ascii="Arial" w:hAnsi="Arial" w:cs="Arial"/>
        </w:rPr>
      </w:pPr>
      <w:r>
        <w:rPr>
          <w:rFonts w:ascii="Arial" w:hAnsi="Arial"/>
        </w:rPr>
        <w:t>Plan de indicadores de PRI</w:t>
      </w:r>
    </w:p>
    <w:p w14:paraId="07AC18A1" w14:textId="1AF4CDF3" w:rsidR="003A1863" w:rsidRPr="00056B16" w:rsidRDefault="003A1863" w:rsidP="003A1863">
      <w:pPr>
        <w:pStyle w:val="ListParagraph"/>
        <w:numPr>
          <w:ilvl w:val="0"/>
          <w:numId w:val="6"/>
        </w:numPr>
        <w:jc w:val="both"/>
        <w:rPr>
          <w:rFonts w:ascii="Arial" w:hAnsi="Arial" w:cs="Arial"/>
        </w:rPr>
      </w:pPr>
      <w:r>
        <w:rPr>
          <w:rFonts w:ascii="Arial" w:hAnsi="Arial"/>
        </w:rPr>
        <w:t xml:space="preserve">Marco lógico de PRI </w:t>
      </w:r>
    </w:p>
    <w:p w14:paraId="70398D63" w14:textId="22D9ADE0" w:rsidR="003A1863" w:rsidRPr="00056B16" w:rsidRDefault="003A1863" w:rsidP="003A1863">
      <w:pPr>
        <w:pStyle w:val="ListParagraph"/>
        <w:numPr>
          <w:ilvl w:val="0"/>
          <w:numId w:val="6"/>
        </w:numPr>
        <w:jc w:val="both"/>
        <w:rPr>
          <w:rFonts w:ascii="Arial" w:hAnsi="Arial" w:cs="Arial"/>
        </w:rPr>
      </w:pPr>
      <w:r>
        <w:rPr>
          <w:rFonts w:ascii="Arial" w:hAnsi="Arial"/>
        </w:rPr>
        <w:t>Marco de resultados de PRI</w:t>
      </w:r>
    </w:p>
    <w:p w14:paraId="7153A54D" w14:textId="3BDC316E" w:rsidR="002F13D0" w:rsidRPr="00056B16" w:rsidRDefault="005C31DD"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Proyectos de planes de trabajo de PRI </w:t>
      </w:r>
    </w:p>
    <w:p w14:paraId="77567E8E" w14:textId="2F6D9326" w:rsidR="009F3C61" w:rsidRPr="00056B16" w:rsidRDefault="003A1863"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Evaluaciones de capacitación planificadas que se llevarán a cabo durante la vida del programa.  </w:t>
      </w:r>
    </w:p>
    <w:p w14:paraId="262E8C0D" w14:textId="78C8FE15" w:rsidR="002570E8" w:rsidRPr="00056B16" w:rsidRDefault="008B272B"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Otros documentos necesarios para alcanzar los objetivos de este SOW. </w:t>
      </w:r>
    </w:p>
    <w:p w14:paraId="6C96FDA8" w14:textId="0FD2F590" w:rsidR="00A529F8" w:rsidRDefault="00A529F8" w:rsidP="007A6003">
      <w:pPr>
        <w:spacing w:after="0" w:line="240" w:lineRule="auto"/>
        <w:ind w:left="360" w:hanging="360"/>
        <w:jc w:val="both"/>
        <w:rPr>
          <w:rFonts w:ascii="Arial" w:hAnsi="Arial" w:cs="Arial"/>
          <w:b/>
          <w:color w:val="666666"/>
        </w:rPr>
      </w:pPr>
      <w:r>
        <w:rPr>
          <w:rFonts w:ascii="Arial" w:hAnsi="Arial"/>
          <w:b/>
          <w:color w:val="666666"/>
        </w:rPr>
        <w:t>4) Diseño y métodos de la evaluación de impacto</w:t>
      </w:r>
    </w:p>
    <w:p w14:paraId="0410DA88" w14:textId="77777777" w:rsidR="00F17015" w:rsidRDefault="00F17015" w:rsidP="007A6003">
      <w:pPr>
        <w:spacing w:after="0" w:line="240" w:lineRule="auto"/>
        <w:ind w:left="360" w:hanging="360"/>
        <w:jc w:val="both"/>
        <w:rPr>
          <w:rFonts w:ascii="Arial" w:hAnsi="Arial" w:cs="Arial"/>
          <w:b/>
          <w:color w:val="666666"/>
        </w:rPr>
      </w:pPr>
    </w:p>
    <w:p w14:paraId="08B6B055" w14:textId="77777777" w:rsidR="00F17015" w:rsidRDefault="00F17015" w:rsidP="00A529F8">
      <w:pPr>
        <w:widowControl w:val="0"/>
        <w:jc w:val="both"/>
        <w:rPr>
          <w:rFonts w:ascii="Arial" w:hAnsi="Arial" w:cs="Arial"/>
        </w:rPr>
      </w:pPr>
      <w:r>
        <w:rPr>
          <w:rFonts w:ascii="Arial" w:hAnsi="Arial"/>
        </w:rPr>
        <w:t xml:space="preserve">La metodología para realizar la evaluación de impacto debe basarse en un diseño de evaluación de impacto experimental o cuasiexperimental e incluir una encuesta de referencia y otra final.  </w:t>
      </w:r>
      <w:r>
        <w:rPr>
          <w:rFonts w:ascii="Arial" w:hAnsi="Arial"/>
        </w:rPr>
        <w:lastRenderedPageBreak/>
        <w:t xml:space="preserve">Los instrumentos de la encuesta deben ser redactados por los evaluadores e incluir, como mínimo, los indicadores de resultados enumerados anteriormente, así como cualquier otra covariable pertinente que determinen los evaluadores y Mercy Corps. </w:t>
      </w:r>
    </w:p>
    <w:p w14:paraId="40C2DB75" w14:textId="46AE517B" w:rsidR="00F17015" w:rsidRDefault="0084544D" w:rsidP="00A529F8">
      <w:pPr>
        <w:widowControl w:val="0"/>
        <w:jc w:val="both"/>
        <w:rPr>
          <w:rFonts w:ascii="Arial" w:hAnsi="Arial" w:cs="Arial"/>
        </w:rPr>
      </w:pPr>
      <w:r>
        <w:rPr>
          <w:rFonts w:ascii="Arial" w:hAnsi="Arial"/>
        </w:rPr>
        <w:t xml:space="preserve">El tamaño de la muestra debe basarse en un análisis de potencia que utilice efectos mínimos detectables realistas para aproximadamente tres años de tratamiento. Se pide a los evaluadores que proporcionen un cálculo ilustrativo de la potencia para cualquiera de los resultados mencionados anteriormente, indicando todos los parámetros y supuestos que utilizan. Los evaluadores también deben describir cómo pretenden determinar el tamaño final de la muestra. Los evaluadores deben describir cuál será su estrategia de identificación específica para estimar el impacto y proporcionar al menos un modelo de estimación ilustrativo. </w:t>
      </w:r>
    </w:p>
    <w:p w14:paraId="37BD3908" w14:textId="0A4FE475" w:rsidR="00D95F6A" w:rsidRDefault="00765C0D" w:rsidP="00A529F8">
      <w:pPr>
        <w:widowControl w:val="0"/>
        <w:jc w:val="both"/>
        <w:rPr>
          <w:rFonts w:ascii="Arial" w:hAnsi="Arial" w:cs="Arial"/>
        </w:rPr>
      </w:pPr>
      <w:r>
        <w:rPr>
          <w:rFonts w:ascii="Arial" w:hAnsi="Arial"/>
        </w:rPr>
        <w:t xml:space="preserve">Los evaluadores deben utilizar software de análisis cuantitativo ampliamente aceptado (Stata, </w:t>
      </w:r>
      <w:r w:rsidR="00E5543A">
        <w:rPr>
          <w:rFonts w:ascii="Arial" w:hAnsi="Arial"/>
        </w:rPr>
        <w:br/>
      </w:r>
      <w:r>
        <w:rPr>
          <w:rFonts w:ascii="Arial" w:hAnsi="Arial"/>
        </w:rPr>
        <w:t>R o SPSS).</w:t>
      </w:r>
    </w:p>
    <w:p w14:paraId="0B1E1AE9" w14:textId="7FFFEB9F" w:rsidR="00BF4B69" w:rsidRPr="00056B16" w:rsidRDefault="00961C7F" w:rsidP="00BF4B69">
      <w:pPr>
        <w:widowControl w:val="0"/>
        <w:jc w:val="both"/>
        <w:rPr>
          <w:rFonts w:ascii="Arial" w:hAnsi="Arial" w:cs="Arial"/>
          <w:b/>
          <w:bCs/>
        </w:rPr>
      </w:pPr>
      <w:r>
        <w:rPr>
          <w:rFonts w:ascii="Arial" w:hAnsi="Arial"/>
          <w:b/>
          <w:color w:val="808080" w:themeColor="background1" w:themeShade="80"/>
        </w:rPr>
        <w:t xml:space="preserve">5) Qué proporcionará Mercy Corps </w:t>
      </w:r>
    </w:p>
    <w:p w14:paraId="7ACF11D0" w14:textId="4CFA06ED" w:rsidR="00BF4B69" w:rsidRPr="00056B16" w:rsidRDefault="00BF4B69" w:rsidP="00504E08">
      <w:pPr>
        <w:widowControl w:val="0"/>
        <w:tabs>
          <w:tab w:val="left" w:pos="993"/>
        </w:tabs>
        <w:ind w:left="720"/>
        <w:jc w:val="both"/>
        <w:rPr>
          <w:rFonts w:ascii="Arial" w:hAnsi="Arial" w:cs="Arial"/>
        </w:rPr>
      </w:pPr>
      <w:r>
        <w:rPr>
          <w:rFonts w:ascii="Wingdings" w:hAnsi="Wingdings"/>
        </w:rPr>
        <w:t>è</w:t>
      </w:r>
      <w:r w:rsidR="00504E08">
        <w:rPr>
          <w:rFonts w:ascii="Wingdings" w:hAnsi="Wingdings"/>
        </w:rPr>
        <w:tab/>
      </w:r>
      <w:r>
        <w:rPr>
          <w:rFonts w:ascii="Arial" w:hAnsi="Arial"/>
        </w:rPr>
        <w:t xml:space="preserve">Mercy Corps proporcionará todos los teléfonos, tabletas y software necesarios (Mercy Corps tiene suscripciones a SPSS, Stata, MaxQDA, Commcare, Atlas.ti, Ona, todos los cuales pueden ser utilizados por la empresa durante la duración de este estudio). </w:t>
      </w:r>
    </w:p>
    <w:p w14:paraId="2204A40F" w14:textId="019F672B" w:rsidR="00383527" w:rsidRPr="00056B16" w:rsidRDefault="00180E57" w:rsidP="00504E08">
      <w:pPr>
        <w:widowControl w:val="0"/>
        <w:tabs>
          <w:tab w:val="left" w:pos="993"/>
        </w:tabs>
        <w:ind w:left="720"/>
        <w:jc w:val="both"/>
        <w:rPr>
          <w:rFonts w:ascii="Arial" w:hAnsi="Arial" w:cs="Arial"/>
        </w:rPr>
      </w:pPr>
      <w:r>
        <w:rPr>
          <w:rFonts w:ascii="Wingdings" w:hAnsi="Wingdings"/>
        </w:rPr>
        <w:t>è</w:t>
      </w:r>
      <w:r w:rsidR="00504E08">
        <w:rPr>
          <w:rFonts w:ascii="Wingdings" w:hAnsi="Wingdings"/>
        </w:rPr>
        <w:tab/>
      </w:r>
      <w:r>
        <w:rPr>
          <w:rFonts w:ascii="Arial" w:hAnsi="Arial"/>
        </w:rPr>
        <w:t>Mercy Corps proporcionará todos los vehículos necesarios para la recopilación primaria de datos, con el combustible y el conductor (y el salario y los viáticos para el conductor). Cada vehículo puede transportar cómodamente a 4 personas (además del conductor).  Se trata de vehículos 4X4. La empresa s</w:t>
      </w:r>
      <w:r w:rsidR="00504E08">
        <w:rPr>
          <w:rFonts w:ascii="Arial" w:hAnsi="Arial"/>
        </w:rPr>
        <w:t>o</w:t>
      </w:r>
      <w:r>
        <w:rPr>
          <w:rFonts w:ascii="Arial" w:hAnsi="Arial"/>
        </w:rPr>
        <w:t xml:space="preserve">lo tiene que indicar en su propuesta cuántos vehículos necesitará y durante cuántos días. </w:t>
      </w:r>
    </w:p>
    <w:p w14:paraId="7729D9F2" w14:textId="1699220D" w:rsidR="00D14960" w:rsidRPr="00056B16" w:rsidRDefault="00383527" w:rsidP="00504E08">
      <w:pPr>
        <w:widowControl w:val="0"/>
        <w:tabs>
          <w:tab w:val="left" w:pos="993"/>
        </w:tabs>
        <w:ind w:left="720"/>
        <w:jc w:val="both"/>
        <w:rPr>
          <w:rFonts w:ascii="Arial" w:hAnsi="Arial" w:cs="Arial"/>
        </w:rPr>
      </w:pPr>
      <w:r>
        <w:rPr>
          <w:rFonts w:ascii="Wingdings" w:hAnsi="Wingdings"/>
        </w:rPr>
        <w:t>è</w:t>
      </w:r>
      <w:r w:rsidR="00504E08">
        <w:rPr>
          <w:rFonts w:ascii="Wingdings" w:hAnsi="Wingdings"/>
        </w:rPr>
        <w:tab/>
      </w:r>
      <w:r>
        <w:rPr>
          <w:rFonts w:ascii="Arial" w:hAnsi="Arial"/>
        </w:rPr>
        <w:t xml:space="preserve">Los 2 gestores de MEL del equipo de MEL </w:t>
      </w:r>
      <w:proofErr w:type="gramStart"/>
      <w:r>
        <w:rPr>
          <w:rFonts w:ascii="Arial" w:hAnsi="Arial"/>
        </w:rPr>
        <w:t>de PRI</w:t>
      </w:r>
      <w:proofErr w:type="gramEnd"/>
      <w:r>
        <w:rPr>
          <w:rFonts w:ascii="Arial" w:hAnsi="Arial"/>
        </w:rPr>
        <w:t xml:space="preserve"> y los 6 oficiales de MEL estarán disponibles mientras dure la evaluación para ayudar con la capacitación y supervisión de los recopiladores de datos y la gestión de datos mientras se recopilan los datos. Mercy Corps pagará el salario y los viáticos de estas seis personas (equipo MEL). </w:t>
      </w:r>
    </w:p>
    <w:p w14:paraId="27B75D2B" w14:textId="48743E46" w:rsidR="00334A67" w:rsidRPr="00056B16" w:rsidRDefault="00D44F6E" w:rsidP="00504E08">
      <w:pPr>
        <w:widowControl w:val="0"/>
        <w:tabs>
          <w:tab w:val="left" w:pos="993"/>
        </w:tabs>
        <w:ind w:left="720"/>
        <w:jc w:val="both"/>
        <w:rPr>
          <w:rFonts w:ascii="Arial" w:hAnsi="Arial" w:cs="Arial"/>
        </w:rPr>
      </w:pPr>
      <w:r>
        <w:rPr>
          <w:rFonts w:ascii="Wingdings" w:hAnsi="Wingdings"/>
        </w:rPr>
        <w:t>è</w:t>
      </w:r>
      <w:r w:rsidR="00504E08">
        <w:rPr>
          <w:rFonts w:ascii="Wingdings" w:hAnsi="Wingdings"/>
        </w:rPr>
        <w:tab/>
      </w:r>
      <w:r>
        <w:rPr>
          <w:rFonts w:ascii="Arial" w:hAnsi="Arial"/>
        </w:rPr>
        <w:t>Mercy Corps puede ayudar a la empresa a reservar hoteles para los recopiladores de datos. S</w:t>
      </w:r>
      <w:r w:rsidR="00504E08">
        <w:rPr>
          <w:rFonts w:ascii="Arial" w:hAnsi="Arial"/>
        </w:rPr>
        <w:t>o</w:t>
      </w:r>
      <w:r>
        <w:rPr>
          <w:rFonts w:ascii="Arial" w:hAnsi="Arial"/>
        </w:rPr>
        <w:t>lo necesita saber el número de recopiladores de datos y supervisores que su empresa contratará.</w:t>
      </w:r>
    </w:p>
    <w:p w14:paraId="704FA766" w14:textId="2E85E1B1" w:rsidR="00D44F6E" w:rsidRPr="00056B16" w:rsidRDefault="00334A67" w:rsidP="00504E08">
      <w:pPr>
        <w:widowControl w:val="0"/>
        <w:tabs>
          <w:tab w:val="left" w:pos="993"/>
        </w:tabs>
        <w:ind w:left="720"/>
        <w:jc w:val="both"/>
        <w:rPr>
          <w:rFonts w:ascii="Arial" w:hAnsi="Arial" w:cs="Arial"/>
        </w:rPr>
      </w:pPr>
      <w:r>
        <w:rPr>
          <w:rFonts w:ascii="Wingdings" w:hAnsi="Wingdings"/>
        </w:rPr>
        <w:t>è</w:t>
      </w:r>
      <w:r w:rsidR="00504E08">
        <w:rPr>
          <w:rFonts w:ascii="Wingdings" w:hAnsi="Wingdings"/>
        </w:rPr>
        <w:tab/>
      </w:r>
      <w:r>
        <w:rPr>
          <w:rFonts w:ascii="Arial" w:hAnsi="Arial"/>
        </w:rPr>
        <w:t>Mercy Corps tiene una oficina con una sala de conferencias lo suficientemente grande como para capacitar hasta 30 recolectores de datos</w:t>
      </w:r>
      <w:r w:rsidR="00504E08">
        <w:rPr>
          <w:rFonts w:ascii="Arial" w:hAnsi="Arial"/>
        </w:rPr>
        <w:t>,</w:t>
      </w:r>
      <w:r>
        <w:rPr>
          <w:rFonts w:ascii="Arial" w:hAnsi="Arial"/>
        </w:rPr>
        <w:t xml:space="preserve"> que estará a disposición de la empresa.  </w:t>
      </w:r>
    </w:p>
    <w:p w14:paraId="191ACB4B" w14:textId="0B00A09A" w:rsidR="00D44F6E" w:rsidRPr="007C732F" w:rsidRDefault="007511E2" w:rsidP="007C732F">
      <w:pPr>
        <w:pStyle w:val="ListParagraph"/>
        <w:numPr>
          <w:ilvl w:val="0"/>
          <w:numId w:val="16"/>
        </w:numPr>
        <w:tabs>
          <w:tab w:val="left" w:pos="993"/>
        </w:tabs>
        <w:spacing w:after="0" w:line="240" w:lineRule="auto"/>
        <w:jc w:val="both"/>
        <w:rPr>
          <w:rFonts w:ascii="Arial" w:hAnsi="Arial" w:cs="Arial"/>
          <w:bCs/>
          <w:color w:val="000000"/>
        </w:rPr>
      </w:pPr>
      <w:proofErr w:type="spellStart"/>
      <w:r w:rsidRPr="007C732F">
        <w:rPr>
          <w:rFonts w:ascii="Arial" w:hAnsi="Arial"/>
          <w:color w:val="000000"/>
        </w:rPr>
        <w:t>Mercy</w:t>
      </w:r>
      <w:proofErr w:type="spellEnd"/>
      <w:r w:rsidRPr="007C732F">
        <w:rPr>
          <w:rFonts w:ascii="Arial" w:hAnsi="Arial"/>
          <w:color w:val="000000"/>
        </w:rPr>
        <w:t xml:space="preserve"> Corps se hará cargo de todos los gastos de traducción. </w:t>
      </w:r>
    </w:p>
    <w:p w14:paraId="22C24A3A" w14:textId="77777777" w:rsidR="0067487E" w:rsidRDefault="0067487E" w:rsidP="00A529F8">
      <w:pPr>
        <w:spacing w:after="0" w:line="240" w:lineRule="auto"/>
        <w:jc w:val="both"/>
        <w:rPr>
          <w:rFonts w:ascii="Arial" w:hAnsi="Arial" w:cs="Arial"/>
          <w:b/>
          <w:color w:val="000000"/>
        </w:rPr>
      </w:pPr>
    </w:p>
    <w:p w14:paraId="4F182A6F" w14:textId="6180BC3D" w:rsidR="00A529F8" w:rsidRPr="00056B16" w:rsidRDefault="00A529F8" w:rsidP="00A529F8">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Calidad de los datos, seguridad y protección de los sujetos humanos.</w:t>
      </w:r>
    </w:p>
    <w:p w14:paraId="6D20BE89" w14:textId="41D659CD"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r>
        <w:rPr>
          <w:rFonts w:ascii="Arial" w:hAnsi="Arial"/>
          <w:color w:val="000000"/>
        </w:rPr>
        <w:t xml:space="preserve">La calidad de los datos no debe verse comprometida, y debe prestarse la máxima atención para evitar o al menos minimizar los errores en todas las fases de </w:t>
      </w:r>
      <w:r w:rsidR="0061624B">
        <w:rPr>
          <w:rFonts w:ascii="Arial" w:hAnsi="Arial"/>
          <w:color w:val="000000"/>
        </w:rPr>
        <w:t xml:space="preserve">recopilación </w:t>
      </w:r>
      <w:r>
        <w:rPr>
          <w:rFonts w:ascii="Arial" w:hAnsi="Arial"/>
          <w:color w:val="000000"/>
        </w:rPr>
        <w:t>de datos. También debe describirse en la propuesta técnica la protección de la información de identificación personal (IPI)</w:t>
      </w:r>
      <w:r w:rsidR="0061624B">
        <w:rPr>
          <w:rFonts w:ascii="Arial" w:hAnsi="Arial"/>
          <w:color w:val="000000"/>
        </w:rPr>
        <w:t>, así como</w:t>
      </w:r>
      <w:r>
        <w:rPr>
          <w:rFonts w:ascii="Arial" w:hAnsi="Arial"/>
          <w:color w:val="000000"/>
        </w:rPr>
        <w:t xml:space="preserve"> la seguridad y el bienestar de los participantes (protección de los individuos).</w:t>
      </w:r>
    </w:p>
    <w:p w14:paraId="7703605F" w14:textId="77777777" w:rsidR="00A529F8" w:rsidRPr="00056B16" w:rsidRDefault="00A529F8" w:rsidP="00A529F8">
      <w:pPr>
        <w:jc w:val="both"/>
        <w:rPr>
          <w:rFonts w:ascii="Arial" w:hAnsi="Arial" w:cs="Arial"/>
          <w:b/>
          <w:color w:val="808080" w:themeColor="background1" w:themeShade="80"/>
        </w:rPr>
      </w:pPr>
      <w:r>
        <w:rPr>
          <w:rFonts w:ascii="Arial" w:hAnsi="Arial"/>
          <w:b/>
          <w:color w:val="808080" w:themeColor="background1" w:themeShade="80"/>
        </w:rPr>
        <w:lastRenderedPageBreak/>
        <w:t>7. Comunicación de resultados/reflexiones.</w:t>
      </w:r>
    </w:p>
    <w:p w14:paraId="37F6E3A9" w14:textId="5530FE8F" w:rsidR="00F522D4" w:rsidRPr="00056B16" w:rsidRDefault="00DE418E" w:rsidP="00A529F8">
      <w:pPr>
        <w:jc w:val="both"/>
        <w:rPr>
          <w:rFonts w:ascii="Arial" w:hAnsi="Arial" w:cs="Arial"/>
        </w:rPr>
      </w:pPr>
      <w:r>
        <w:rPr>
          <w:rFonts w:ascii="Arial" w:hAnsi="Arial"/>
        </w:rPr>
        <w:t>Debe presentarse un informe final, y la empresa debe organizar y facilitar una presentación (a distancia)</w:t>
      </w:r>
      <w:r w:rsidR="0061624B">
        <w:rPr>
          <w:rFonts w:ascii="Arial" w:hAnsi="Arial"/>
        </w:rPr>
        <w:t>,</w:t>
      </w:r>
      <w:r>
        <w:rPr>
          <w:rFonts w:ascii="Arial" w:hAnsi="Arial"/>
        </w:rPr>
        <w:t xml:space="preserve"> de las conclusiones al equipo de PRI y a otros empleados y colaboradores de Mercy Corps que Mercy Corps considere oportuno. </w:t>
      </w:r>
    </w:p>
    <w:p w14:paraId="2D7BCDAB" w14:textId="199525BA" w:rsidR="009F6187" w:rsidRPr="00056B16" w:rsidRDefault="009F6187" w:rsidP="009F6187">
      <w:pPr>
        <w:jc w:val="both"/>
        <w:rPr>
          <w:rFonts w:ascii="Arial" w:hAnsi="Arial" w:cs="Arial"/>
          <w:b/>
          <w:color w:val="808080" w:themeColor="background1" w:themeShade="80"/>
        </w:rPr>
      </w:pPr>
      <w:r>
        <w:rPr>
          <w:rFonts w:ascii="Arial" w:hAnsi="Arial"/>
          <w:b/>
          <w:color w:val="808080" w:themeColor="background1" w:themeShade="80"/>
        </w:rPr>
        <w:t>8. Composición del equipo.</w:t>
      </w:r>
    </w:p>
    <w:p w14:paraId="145B69E8" w14:textId="573FE55D" w:rsidR="009F6187" w:rsidRPr="00056B16" w:rsidRDefault="6B8FAD50" w:rsidP="009F6187">
      <w:pPr>
        <w:tabs>
          <w:tab w:val="left" w:pos="1032"/>
        </w:tabs>
        <w:rPr>
          <w:rFonts w:ascii="Arial" w:hAnsi="Arial" w:cs="Arial"/>
        </w:rPr>
      </w:pPr>
      <w:r>
        <w:rPr>
          <w:rFonts w:ascii="Arial" w:hAnsi="Arial"/>
        </w:rPr>
        <w:t xml:space="preserve">La empresa debe proponer un equipo eficaz en función de los costos para esta evaluación. La función de los miembros del equipo debe describirse en la sección II (la propuesta técnica), pero cada miembro del equipo debe enumerarse por cargo/función en la sección III (la "propuesta LOE"). Tenga en cuenta que </w:t>
      </w:r>
      <w:r>
        <w:rPr>
          <w:rFonts w:ascii="Arial" w:hAnsi="Arial"/>
          <w:b/>
          <w:bCs/>
        </w:rPr>
        <w:t>no es necesario</w:t>
      </w:r>
      <w:r>
        <w:rPr>
          <w:rFonts w:ascii="Arial" w:hAnsi="Arial"/>
        </w:rPr>
        <w:t xml:space="preserve"> que la composición propuesta del equipo </w:t>
      </w:r>
      <w:r>
        <w:rPr>
          <w:rFonts w:ascii="Arial" w:hAnsi="Arial"/>
          <w:b/>
          <w:bCs/>
        </w:rPr>
        <w:t xml:space="preserve">coincida o incluya los dos roles descritos en la sección de presentación de </w:t>
      </w:r>
      <w:proofErr w:type="gramStart"/>
      <w:r>
        <w:rPr>
          <w:rFonts w:ascii="Arial" w:hAnsi="Arial"/>
          <w:b/>
          <w:bCs/>
        </w:rPr>
        <w:t>CV</w:t>
      </w:r>
      <w:r w:rsidR="0061624B">
        <w:rPr>
          <w:rFonts w:ascii="Arial" w:hAnsi="Arial"/>
        </w:rPr>
        <w:t xml:space="preserve">; </w:t>
      </w:r>
      <w:r>
        <w:rPr>
          <w:rFonts w:ascii="Arial" w:hAnsi="Arial"/>
        </w:rPr>
        <w:t xml:space="preserve"> los</w:t>
      </w:r>
      <w:proofErr w:type="gramEnd"/>
      <w:r>
        <w:rPr>
          <w:rFonts w:ascii="Arial" w:hAnsi="Arial"/>
        </w:rPr>
        <w:t xml:space="preserve"> dos perfiles descritos en la sección 9 son sólo para las presentaciones de CV.</w:t>
      </w:r>
    </w:p>
    <w:p w14:paraId="716DDE47" w14:textId="5E8A5952" w:rsidR="3808EC3C"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9. Envíos de CV</w:t>
      </w:r>
    </w:p>
    <w:p w14:paraId="3B6F7F02" w14:textId="494EFD19" w:rsidR="61665887" w:rsidRDefault="61665887" w:rsidP="3415897D">
      <w:pPr>
        <w:tabs>
          <w:tab w:val="left" w:pos="1032"/>
        </w:tabs>
        <w:rPr>
          <w:rFonts w:ascii="Arial" w:eastAsia="Arial" w:hAnsi="Arial" w:cs="Arial"/>
        </w:rPr>
      </w:pPr>
      <w:r>
        <w:rPr>
          <w:rFonts w:ascii="Arial" w:hAnsi="Arial"/>
        </w:rPr>
        <w:t xml:space="preserve">Envíe un CV de un miembro actual del personal para las dos funciones que se indican a continuación (2 CV en total como máximo). Utilice la plantilla de CV proporcionada. Las empresas deben </w:t>
      </w:r>
      <w:r w:rsidR="0061624B">
        <w:rPr>
          <w:rFonts w:ascii="Arial" w:hAnsi="Arial"/>
        </w:rPr>
        <w:t>proponer</w:t>
      </w:r>
      <w:r>
        <w:rPr>
          <w:rFonts w:ascii="Arial" w:hAnsi="Arial"/>
        </w:rPr>
        <w:t xml:space="preserve"> a los miembros del personal que consideren mejor cualificados para este proyecto. </w:t>
      </w:r>
      <w:r>
        <w:rPr>
          <w:rFonts w:ascii="Arial" w:hAnsi="Arial"/>
          <w:b/>
          <w:bCs/>
        </w:rPr>
        <w:t>No es necesario que los CV presentados coincidan con las funciones o el personal descritos en la sección "Propuesta de LOE".</w:t>
      </w:r>
      <w:r>
        <w:rPr>
          <w:rFonts w:ascii="Arial" w:hAnsi="Arial"/>
        </w:rPr>
        <w:t xml:space="preserve"> Envíe los siguientes CV: </w:t>
      </w:r>
    </w:p>
    <w:p w14:paraId="3B56C14C" w14:textId="08531AE5" w:rsidR="61665887" w:rsidRDefault="61665887" w:rsidP="3415897D">
      <w:pPr>
        <w:pStyle w:val="ListParagraph"/>
        <w:numPr>
          <w:ilvl w:val="0"/>
          <w:numId w:val="1"/>
        </w:numPr>
        <w:tabs>
          <w:tab w:val="left" w:pos="1032"/>
        </w:tabs>
      </w:pPr>
      <w:r>
        <w:rPr>
          <w:rFonts w:ascii="Arial" w:hAnsi="Arial"/>
        </w:rPr>
        <w:t>Jefe de proyecto/Especialista de nivel superior</w:t>
      </w:r>
    </w:p>
    <w:p w14:paraId="1142C991" w14:textId="3F66CE3E" w:rsidR="61665887" w:rsidRDefault="61665887" w:rsidP="3415897D">
      <w:pPr>
        <w:pStyle w:val="ListParagraph"/>
        <w:numPr>
          <w:ilvl w:val="0"/>
          <w:numId w:val="1"/>
        </w:numPr>
        <w:tabs>
          <w:tab w:val="left" w:pos="1032"/>
        </w:tabs>
      </w:pPr>
      <w:r>
        <w:rPr>
          <w:rFonts w:ascii="Arial" w:hAnsi="Arial"/>
        </w:rPr>
        <w:t>Investigador/Analista de nivel medio</w:t>
      </w:r>
    </w:p>
    <w:p w14:paraId="0347A291" w14:textId="173350C1" w:rsidR="00102B53" w:rsidRPr="00056B16"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10. Nivel de esfuerzo para consideraciones presupuestarias.</w:t>
      </w:r>
    </w:p>
    <w:p w14:paraId="14399E7B" w14:textId="692C2898" w:rsidR="004565FE" w:rsidRDefault="00DA390C" w:rsidP="002F13D0">
      <w:pPr>
        <w:spacing w:after="0" w:line="240" w:lineRule="auto"/>
        <w:jc w:val="both"/>
        <w:rPr>
          <w:rFonts w:ascii="Arial" w:hAnsi="Arial" w:cs="Arial"/>
          <w:bCs/>
        </w:rPr>
      </w:pPr>
      <w:r>
        <w:rPr>
          <w:rFonts w:ascii="Arial" w:hAnsi="Arial"/>
        </w:rPr>
        <w:t xml:space="preserve">Dado que Jalanda es un país ficticio, elija uno </w:t>
      </w:r>
      <w:r w:rsidR="0061624B">
        <w:rPr>
          <w:rFonts w:ascii="Arial" w:hAnsi="Arial"/>
        </w:rPr>
        <w:t>(</w:t>
      </w:r>
      <w:r>
        <w:rPr>
          <w:rFonts w:ascii="Arial" w:hAnsi="Arial"/>
        </w:rPr>
        <w:t>y s</w:t>
      </w:r>
      <w:r w:rsidR="0061624B">
        <w:rPr>
          <w:rFonts w:ascii="Arial" w:hAnsi="Arial"/>
        </w:rPr>
        <w:t>o</w:t>
      </w:r>
      <w:r>
        <w:rPr>
          <w:rFonts w:ascii="Arial" w:hAnsi="Arial"/>
        </w:rPr>
        <w:t>lo uno</w:t>
      </w:r>
      <w:r w:rsidR="0061624B">
        <w:rPr>
          <w:rFonts w:ascii="Arial" w:hAnsi="Arial"/>
        </w:rPr>
        <w:t>)</w:t>
      </w:r>
      <w:r>
        <w:rPr>
          <w:rFonts w:ascii="Arial" w:hAnsi="Arial"/>
        </w:rPr>
        <w:t xml:space="preserve"> de los países de referencia que figuran a continuación como base de su propuesta de LOE para este </w:t>
      </w:r>
      <w:r w:rsidR="0061624B">
        <w:rPr>
          <w:rFonts w:ascii="Arial" w:hAnsi="Arial"/>
        </w:rPr>
        <w:t xml:space="preserve">simulacro de </w:t>
      </w:r>
      <w:r>
        <w:rPr>
          <w:rFonts w:ascii="Arial" w:hAnsi="Arial"/>
        </w:rPr>
        <w:t xml:space="preserve">SOW; secciones D y E. </w:t>
      </w:r>
      <w:r>
        <w:rPr>
          <w:rFonts w:ascii="Arial" w:hAnsi="Arial"/>
          <w:u w:val="single"/>
        </w:rPr>
        <w:t>No puede elegir un país en el que su empresa tenga su sede.</w:t>
      </w:r>
      <w:r>
        <w:rPr>
          <w:rFonts w:ascii="Arial" w:hAnsi="Arial"/>
        </w:rPr>
        <w:t xml:space="preserve"> La elección de un país no significa que haya trabajado o pueda trabajar en él. </w:t>
      </w:r>
    </w:p>
    <w:p w14:paraId="2CBEAB6B" w14:textId="77777777" w:rsidR="00FE7FC3" w:rsidRDefault="00FE7FC3" w:rsidP="002F13D0">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5E1E3F89" w:rsidR="00FE7FC3" w:rsidRDefault="002754B0" w:rsidP="002F13D0">
            <w:pPr>
              <w:spacing w:after="0" w:line="240" w:lineRule="auto"/>
              <w:jc w:val="both"/>
              <w:rPr>
                <w:rFonts w:ascii="Arial" w:hAnsi="Arial" w:cs="Arial"/>
                <w:bCs/>
              </w:rPr>
            </w:pPr>
            <w:r>
              <w:rPr>
                <w:rFonts w:ascii="Arial" w:hAnsi="Arial"/>
              </w:rPr>
              <w:t>Países de referencia (seleccione s</w:t>
            </w:r>
            <w:r w:rsidR="0061624B">
              <w:rPr>
                <w:rFonts w:ascii="Arial" w:hAnsi="Arial"/>
              </w:rPr>
              <w:t>o</w:t>
            </w:r>
            <w:r>
              <w:rPr>
                <w:rFonts w:ascii="Arial" w:hAnsi="Arial"/>
              </w:rPr>
              <w:t>lo uno)</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spacing w:after="0" w:line="240" w:lineRule="auto"/>
              <w:jc w:val="both"/>
              <w:rPr>
                <w:rFonts w:ascii="Arial" w:hAnsi="Arial" w:cs="Arial"/>
                <w:bCs/>
              </w:rPr>
            </w:pPr>
            <w:r>
              <w:rPr>
                <w:rFonts w:ascii="Arial" w:hAnsi="Arial"/>
              </w:rPr>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spacing w:after="0" w:line="240" w:lineRule="auto"/>
              <w:jc w:val="both"/>
              <w:rPr>
                <w:rFonts w:ascii="Arial" w:hAnsi="Arial" w:cs="Arial"/>
              </w:rPr>
            </w:pPr>
            <w:r>
              <w:rPr>
                <w:rFonts w:ascii="Arial" w:hAnsi="Arial"/>
              </w:rPr>
              <w:t>Colombia</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spacing w:after="0" w:line="240" w:lineRule="auto"/>
              <w:jc w:val="both"/>
              <w:rPr>
                <w:rFonts w:ascii="Arial" w:hAnsi="Arial" w:cs="Arial"/>
                <w:bCs/>
              </w:rPr>
            </w:pPr>
            <w:r>
              <w:rPr>
                <w:rFonts w:ascii="Arial" w:hAnsi="Arial"/>
              </w:rPr>
              <w:t>Burkina Faso</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Senegal</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spacing w:after="0" w:line="240" w:lineRule="auto"/>
              <w:jc w:val="both"/>
              <w:rPr>
                <w:rFonts w:ascii="Arial" w:hAnsi="Arial" w:cs="Arial"/>
                <w:bCs/>
              </w:rPr>
            </w:pPr>
            <w:r>
              <w:rPr>
                <w:rFonts w:ascii="Arial" w:hAnsi="Arial"/>
              </w:rPr>
              <w:t>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Etiopía</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spacing w:after="0" w:line="240" w:lineRule="auto"/>
              <w:jc w:val="both"/>
              <w:rPr>
                <w:rFonts w:ascii="Arial" w:hAnsi="Arial" w:cs="Arial"/>
                <w:bCs/>
              </w:rPr>
            </w:pPr>
            <w:r>
              <w:rPr>
                <w:rFonts w:ascii="Arial" w:hAnsi="Arial"/>
              </w:rPr>
              <w:t>Iraq</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 xml:space="preserve">Afganistán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spacing w:after="0" w:line="240" w:lineRule="auto"/>
              <w:jc w:val="both"/>
              <w:rPr>
                <w:rFonts w:ascii="Arial" w:hAnsi="Arial" w:cs="Arial"/>
                <w:bCs/>
              </w:rPr>
            </w:pPr>
            <w:r>
              <w:rPr>
                <w:rFonts w:ascii="Arial" w:hAnsi="Arial"/>
              </w:rPr>
              <w:t>Nepal</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spacing w:after="0" w:line="240" w:lineRule="auto"/>
              <w:jc w:val="both"/>
              <w:rPr>
                <w:rFonts w:ascii="Arial" w:hAnsi="Arial" w:cs="Arial"/>
                <w:bCs/>
              </w:rPr>
            </w:pPr>
            <w:r>
              <w:rPr>
                <w:rFonts w:ascii="Arial" w:hAnsi="Arial"/>
              </w:rPr>
              <w:t>Indonesia</w:t>
            </w:r>
          </w:p>
        </w:tc>
      </w:tr>
    </w:tbl>
    <w:p w14:paraId="1CBE7DCC" w14:textId="0440CC4D" w:rsidR="0011252D" w:rsidRDefault="0011252D" w:rsidP="00590B8D">
      <w:pPr>
        <w:spacing w:before="240"/>
        <w:jc w:val="both"/>
        <w:rPr>
          <w:rFonts w:ascii="Arial" w:hAnsi="Arial" w:cs="Arial"/>
          <w:b/>
          <w:color w:val="808080" w:themeColor="background1" w:themeShade="80"/>
        </w:rPr>
      </w:pPr>
      <w:r>
        <w:rPr>
          <w:rFonts w:ascii="Arial" w:hAnsi="Arial"/>
          <w:b/>
          <w:color w:val="808080" w:themeColor="background1" w:themeShade="80"/>
        </w:rPr>
        <w:t xml:space="preserve">10. Cronograma </w:t>
      </w:r>
    </w:p>
    <w:p w14:paraId="6F7BCB2B" w14:textId="49784F53" w:rsidR="0011252D" w:rsidRPr="0079264E" w:rsidRDefault="0011252D" w:rsidP="0011252D">
      <w:pPr>
        <w:jc w:val="both"/>
        <w:rPr>
          <w:rFonts w:ascii="Arial" w:hAnsi="Arial" w:cs="Arial"/>
          <w:bCs/>
        </w:rPr>
      </w:pPr>
      <w:r>
        <w:rPr>
          <w:rFonts w:ascii="Arial" w:hAnsi="Arial"/>
        </w:rPr>
        <w:lastRenderedPageBreak/>
        <w:t xml:space="preserve">La empresa debe proponer un calendario detallado para completar esta evaluación y presentar el informe final antes del 31 de septiembre de 2026. El plazo propuesto debe ser coherente con los recursos asignados en las secciones técnicas y LOE de las propuestas. </w:t>
      </w:r>
    </w:p>
    <w:p w14:paraId="5B983E3A" w14:textId="2787F3DA" w:rsidR="00EA5E86" w:rsidRPr="00056B16" w:rsidRDefault="00EA5E86" w:rsidP="00EA5E86">
      <w:pPr>
        <w:jc w:val="both"/>
        <w:rPr>
          <w:rFonts w:ascii="Arial" w:hAnsi="Arial" w:cs="Arial"/>
          <w:b/>
          <w:color w:val="808080" w:themeColor="background1" w:themeShade="80"/>
        </w:rPr>
      </w:pPr>
      <w:r>
        <w:rPr>
          <w:rFonts w:ascii="Arial" w:hAnsi="Arial"/>
          <w:b/>
          <w:color w:val="808080" w:themeColor="background1" w:themeShade="80"/>
        </w:rPr>
        <w:t xml:space="preserve">11. </w:t>
      </w:r>
      <w:r w:rsidR="0061624B">
        <w:rPr>
          <w:rFonts w:ascii="Arial" w:hAnsi="Arial"/>
          <w:b/>
          <w:color w:val="808080" w:themeColor="background1" w:themeShade="80"/>
        </w:rPr>
        <w:t>Documentos a entregar</w:t>
      </w:r>
    </w:p>
    <w:p w14:paraId="5F89173E" w14:textId="660976D7" w:rsidR="00A83BF5" w:rsidRDefault="00A83BF5" w:rsidP="00DE7962">
      <w:pPr>
        <w:pStyle w:val="ListParagraph"/>
        <w:widowControl w:val="0"/>
        <w:numPr>
          <w:ilvl w:val="0"/>
          <w:numId w:val="8"/>
        </w:numPr>
        <w:jc w:val="both"/>
        <w:rPr>
          <w:rFonts w:ascii="Arial" w:hAnsi="Arial" w:cs="Arial"/>
        </w:rPr>
      </w:pPr>
      <w:r>
        <w:rPr>
          <w:rFonts w:ascii="Arial" w:hAnsi="Arial"/>
        </w:rPr>
        <w:t xml:space="preserve">Informe inicial </w:t>
      </w:r>
    </w:p>
    <w:p w14:paraId="65AACEE5" w14:textId="52AC2002" w:rsidR="00765C0D" w:rsidRDefault="00765C0D" w:rsidP="00DE7962">
      <w:pPr>
        <w:pStyle w:val="ListParagraph"/>
        <w:widowControl w:val="0"/>
        <w:numPr>
          <w:ilvl w:val="0"/>
          <w:numId w:val="8"/>
        </w:numPr>
        <w:jc w:val="both"/>
        <w:rPr>
          <w:rFonts w:ascii="Arial" w:hAnsi="Arial" w:cs="Arial"/>
        </w:rPr>
      </w:pPr>
      <w:r>
        <w:rPr>
          <w:rFonts w:ascii="Arial" w:hAnsi="Arial"/>
        </w:rPr>
        <w:t>Protocolo de la evaluación de impacto</w:t>
      </w:r>
    </w:p>
    <w:p w14:paraId="6900449E" w14:textId="77777777" w:rsidR="0067487E" w:rsidRDefault="0067487E" w:rsidP="0067487E">
      <w:pPr>
        <w:pStyle w:val="ListParagraph"/>
        <w:widowControl w:val="0"/>
        <w:numPr>
          <w:ilvl w:val="1"/>
          <w:numId w:val="8"/>
        </w:numPr>
        <w:jc w:val="both"/>
        <w:rPr>
          <w:rFonts w:ascii="Arial" w:hAnsi="Arial" w:cs="Arial"/>
        </w:rPr>
      </w:pPr>
      <w:r>
        <w:rPr>
          <w:rFonts w:ascii="Arial" w:hAnsi="Arial"/>
        </w:rPr>
        <w:t>Plan de análisis</w:t>
      </w:r>
    </w:p>
    <w:p w14:paraId="294D83C9" w14:textId="7799F95C" w:rsidR="00A83BF5" w:rsidRPr="0067487E" w:rsidRDefault="00A83BF5" w:rsidP="0067487E">
      <w:pPr>
        <w:pStyle w:val="ListParagraph"/>
        <w:widowControl w:val="0"/>
        <w:numPr>
          <w:ilvl w:val="1"/>
          <w:numId w:val="8"/>
        </w:numPr>
        <w:jc w:val="both"/>
        <w:rPr>
          <w:rFonts w:ascii="Arial" w:hAnsi="Arial" w:cs="Arial"/>
        </w:rPr>
      </w:pPr>
      <w:r>
        <w:rPr>
          <w:rFonts w:ascii="Arial" w:hAnsi="Arial"/>
        </w:rPr>
        <w:t xml:space="preserve">Instrumentos de evaluación </w:t>
      </w:r>
    </w:p>
    <w:p w14:paraId="1DC57CD4" w14:textId="25A2BDBA" w:rsidR="00A83BF5" w:rsidRPr="005F3D25" w:rsidRDefault="00A83BF5" w:rsidP="00DE7962">
      <w:pPr>
        <w:pStyle w:val="ListParagraph"/>
        <w:widowControl w:val="0"/>
        <w:numPr>
          <w:ilvl w:val="0"/>
          <w:numId w:val="8"/>
        </w:numPr>
        <w:jc w:val="both"/>
        <w:rPr>
          <w:rFonts w:ascii="Arial" w:hAnsi="Arial" w:cs="Arial"/>
        </w:rPr>
      </w:pPr>
      <w:r>
        <w:rPr>
          <w:rFonts w:ascii="Arial" w:hAnsi="Arial"/>
        </w:rPr>
        <w:t>Conjuntos de datos brutos y analíticos debidamente documentados y protegidos</w:t>
      </w:r>
    </w:p>
    <w:p w14:paraId="3C529D71" w14:textId="6F553FA4"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Informe </w:t>
      </w:r>
      <w:r w:rsidR="0061624B">
        <w:rPr>
          <w:rFonts w:ascii="Arial" w:hAnsi="Arial"/>
        </w:rPr>
        <w:t xml:space="preserve">preliminar </w:t>
      </w:r>
      <w:r>
        <w:rPr>
          <w:rFonts w:ascii="Arial" w:hAnsi="Arial"/>
        </w:rPr>
        <w:t xml:space="preserve">1 </w:t>
      </w:r>
    </w:p>
    <w:p w14:paraId="275127E1" w14:textId="347763D3" w:rsidR="00C27F4D" w:rsidRDefault="00C27F4D" w:rsidP="00DE7962">
      <w:pPr>
        <w:pStyle w:val="ListParagraph"/>
        <w:widowControl w:val="0"/>
        <w:numPr>
          <w:ilvl w:val="0"/>
          <w:numId w:val="8"/>
        </w:numPr>
        <w:jc w:val="both"/>
        <w:rPr>
          <w:rFonts w:ascii="Arial" w:hAnsi="Arial" w:cs="Arial"/>
        </w:rPr>
      </w:pPr>
      <w:r>
        <w:rPr>
          <w:rFonts w:ascii="Arial" w:hAnsi="Arial"/>
        </w:rPr>
        <w:t xml:space="preserve">Informe </w:t>
      </w:r>
      <w:r w:rsidR="0061624B">
        <w:rPr>
          <w:rFonts w:ascii="Arial" w:hAnsi="Arial"/>
        </w:rPr>
        <w:t xml:space="preserve">preliminar </w:t>
      </w:r>
      <w:r>
        <w:rPr>
          <w:rFonts w:ascii="Arial" w:hAnsi="Arial"/>
        </w:rPr>
        <w:t>2</w:t>
      </w:r>
    </w:p>
    <w:p w14:paraId="486EDC61" w14:textId="39B67271" w:rsidR="00A83BF5" w:rsidRPr="005F3D25" w:rsidRDefault="00A83BF5" w:rsidP="00DE7962">
      <w:pPr>
        <w:pStyle w:val="ListParagraph"/>
        <w:widowControl w:val="0"/>
        <w:numPr>
          <w:ilvl w:val="0"/>
          <w:numId w:val="8"/>
        </w:numPr>
        <w:jc w:val="both"/>
        <w:rPr>
          <w:rFonts w:ascii="Arial" w:hAnsi="Arial" w:cs="Arial"/>
        </w:rPr>
      </w:pPr>
      <w:r>
        <w:rPr>
          <w:rFonts w:ascii="Arial" w:hAnsi="Arial"/>
        </w:rPr>
        <w:t>Informe final.</w:t>
      </w:r>
    </w:p>
    <w:p w14:paraId="12F5BE49" w14:textId="633D6932" w:rsidR="002F13D0" w:rsidRPr="00A83BF5" w:rsidRDefault="00A83BF5" w:rsidP="0061624B">
      <w:pPr>
        <w:widowControl w:val="0"/>
        <w:tabs>
          <w:tab w:val="left" w:pos="284"/>
        </w:tabs>
        <w:jc w:val="both"/>
        <w:rPr>
          <w:rFonts w:ascii="Arial" w:hAnsi="Arial" w:cs="Arial"/>
          <w:highlight w:val="yellow"/>
        </w:rPr>
      </w:pPr>
      <w:r>
        <w:rPr>
          <w:rFonts w:ascii="Wingdings" w:hAnsi="Wingdings"/>
        </w:rPr>
        <w:t>è</w:t>
      </w:r>
      <w:r w:rsidR="0061624B">
        <w:rPr>
          <w:rFonts w:ascii="Wingdings" w:hAnsi="Wingdings"/>
        </w:rPr>
        <w:tab/>
      </w:r>
      <w:r>
        <w:rPr>
          <w:rFonts w:ascii="Arial" w:hAnsi="Arial"/>
        </w:rPr>
        <w:t xml:space="preserve">Los informes pueden presentarse en inglés, francés, español, árabe o ruso. La traducción al inglés será pagada por Mercy Corps. Asegúrese de indicar, </w:t>
      </w:r>
      <w:r>
        <w:rPr>
          <w:rFonts w:ascii="Arial" w:hAnsi="Arial"/>
          <w:u w:val="single"/>
        </w:rPr>
        <w:t xml:space="preserve">en la sección II (la propuesta técnica), en cuál de estos idiomas su empresa presentará el informe inicial, el </w:t>
      </w:r>
      <w:r w:rsidR="0061624B">
        <w:rPr>
          <w:rFonts w:ascii="Arial" w:hAnsi="Arial"/>
          <w:u w:val="single"/>
        </w:rPr>
        <w:t xml:space="preserve">informe preliminar </w:t>
      </w:r>
      <w:r>
        <w:rPr>
          <w:rFonts w:ascii="Arial" w:hAnsi="Arial"/>
          <w:u w:val="single"/>
        </w:rPr>
        <w:t>y el informe final, así como los instrumentos de evaluación.</w:t>
      </w:r>
      <w:r>
        <w:rPr>
          <w:rFonts w:ascii="Arial" w:hAnsi="Arial"/>
        </w:rPr>
        <w:t xml:space="preserve"> </w:t>
      </w:r>
    </w:p>
    <w:p w14:paraId="2CFCDE9B" w14:textId="5F32C096" w:rsidR="00AF7340" w:rsidRPr="00357301" w:rsidRDefault="00553640" w:rsidP="0061624B">
      <w:pPr>
        <w:widowControl w:val="0"/>
        <w:tabs>
          <w:tab w:val="left" w:pos="284"/>
        </w:tabs>
        <w:jc w:val="both"/>
        <w:rPr>
          <w:rFonts w:ascii="Arial" w:hAnsi="Arial" w:cs="Arial"/>
        </w:rPr>
      </w:pPr>
      <w:r>
        <w:rPr>
          <w:rFonts w:ascii="Wingdings" w:hAnsi="Wingdings"/>
        </w:rPr>
        <w:t>è</w:t>
      </w:r>
      <w:r w:rsidR="0061624B">
        <w:rPr>
          <w:rFonts w:ascii="Wingdings" w:hAnsi="Wingdings"/>
        </w:rPr>
        <w:tab/>
      </w:r>
      <w:r>
        <w:rPr>
          <w:rFonts w:ascii="Arial" w:hAnsi="Arial"/>
        </w:rPr>
        <w:t xml:space="preserve">Mercy Corps proporcionará información consolidada sobre el informe </w:t>
      </w:r>
      <w:r w:rsidR="0061624B">
        <w:rPr>
          <w:rFonts w:ascii="Arial" w:hAnsi="Arial"/>
        </w:rPr>
        <w:t xml:space="preserve">preliminar </w:t>
      </w:r>
      <w:r>
        <w:rPr>
          <w:rFonts w:ascii="Arial" w:hAnsi="Arial"/>
        </w:rPr>
        <w:t xml:space="preserve">1, siempre que esté completo y se presente como si fuera el informe final (es decir, que no sea un </w:t>
      </w:r>
      <w:r w:rsidR="0061624B">
        <w:rPr>
          <w:rFonts w:ascii="Arial" w:hAnsi="Arial"/>
        </w:rPr>
        <w:t>“</w:t>
      </w:r>
      <w:r>
        <w:rPr>
          <w:rFonts w:ascii="Arial" w:hAnsi="Arial"/>
        </w:rPr>
        <w:t>borrador</w:t>
      </w:r>
      <w:r w:rsidR="0061624B">
        <w:rPr>
          <w:rFonts w:ascii="Arial" w:hAnsi="Arial"/>
        </w:rPr>
        <w:t>”</w:t>
      </w:r>
      <w:r>
        <w:rPr>
          <w:rFonts w:ascii="Arial" w:hAnsi="Arial"/>
        </w:rPr>
        <w:t xml:space="preserve"> y que no falte ninguna sección aparte de los anexos). En el </w:t>
      </w:r>
      <w:r w:rsidR="0061624B">
        <w:rPr>
          <w:rFonts w:ascii="Arial" w:hAnsi="Arial"/>
        </w:rPr>
        <w:t xml:space="preserve">informe preliminar </w:t>
      </w:r>
      <w:r>
        <w:rPr>
          <w:rFonts w:ascii="Arial" w:hAnsi="Arial"/>
        </w:rPr>
        <w:t>2</w:t>
      </w:r>
      <w:r w:rsidR="0061624B">
        <w:rPr>
          <w:rFonts w:ascii="Arial" w:hAnsi="Arial"/>
        </w:rPr>
        <w:t>,</w:t>
      </w:r>
      <w:r>
        <w:rPr>
          <w:rFonts w:ascii="Arial" w:hAnsi="Arial"/>
        </w:rPr>
        <w:t xml:space="preserve"> se </w:t>
      </w:r>
      <w:r w:rsidR="0061624B">
        <w:rPr>
          <w:rFonts w:ascii="Arial" w:hAnsi="Arial"/>
        </w:rPr>
        <w:t xml:space="preserve">deberán haber </w:t>
      </w:r>
      <w:r>
        <w:rPr>
          <w:rFonts w:ascii="Arial" w:hAnsi="Arial"/>
        </w:rPr>
        <w:t>tenido en cuenta los comentarios de Mercy Corps y Mercy Corps proporcionará entonces sus comentarios consolidados finales, lo que permitirá que la empresa presente el informe final. Por lo tanto, s</w:t>
      </w:r>
      <w:r w:rsidR="00D05D96">
        <w:rPr>
          <w:rFonts w:ascii="Arial" w:hAnsi="Arial"/>
        </w:rPr>
        <w:t>o</w:t>
      </w:r>
      <w:r>
        <w:rPr>
          <w:rFonts w:ascii="Arial" w:hAnsi="Arial"/>
        </w:rPr>
        <w:t xml:space="preserve">lo hay dos rondas de revisiones del informe. </w:t>
      </w:r>
    </w:p>
    <w:p w14:paraId="22C0A1EF" w14:textId="3D875C34" w:rsidR="00DE1696" w:rsidRPr="00056B16" w:rsidRDefault="00DE1696" w:rsidP="00DE1696">
      <w:pPr>
        <w:jc w:val="both"/>
        <w:rPr>
          <w:rFonts w:ascii="Arial" w:hAnsi="Arial" w:cs="Arial"/>
          <w:b/>
          <w:color w:val="808080" w:themeColor="background1" w:themeShade="80"/>
        </w:rPr>
      </w:pPr>
      <w:r>
        <w:rPr>
          <w:rFonts w:ascii="Arial" w:hAnsi="Arial"/>
          <w:b/>
          <w:color w:val="808080" w:themeColor="background1" w:themeShade="80"/>
        </w:rPr>
        <w:t xml:space="preserve">11. Estructura ilustrativa del informe final </w:t>
      </w:r>
    </w:p>
    <w:p w14:paraId="5F7D4C4D" w14:textId="0BA3CB83" w:rsidR="0067487E" w:rsidRDefault="0067487E" w:rsidP="00DE1696">
      <w:pPr>
        <w:pStyle w:val="ListParagraph"/>
        <w:widowControl w:val="0"/>
        <w:numPr>
          <w:ilvl w:val="0"/>
          <w:numId w:val="15"/>
        </w:numPr>
        <w:jc w:val="both"/>
        <w:rPr>
          <w:rFonts w:ascii="Arial" w:hAnsi="Arial" w:cs="Arial"/>
        </w:rPr>
      </w:pPr>
      <w:r>
        <w:rPr>
          <w:rFonts w:ascii="Arial" w:hAnsi="Arial"/>
        </w:rPr>
        <w:t>Portada</w:t>
      </w:r>
    </w:p>
    <w:p w14:paraId="7178BEEB" w14:textId="6C82582B" w:rsidR="0067487E" w:rsidRDefault="00DE1696" w:rsidP="00DE1696">
      <w:pPr>
        <w:pStyle w:val="ListParagraph"/>
        <w:widowControl w:val="0"/>
        <w:numPr>
          <w:ilvl w:val="0"/>
          <w:numId w:val="15"/>
        </w:numPr>
        <w:jc w:val="both"/>
        <w:rPr>
          <w:rFonts w:ascii="Arial" w:hAnsi="Arial" w:cs="Arial"/>
        </w:rPr>
      </w:pPr>
      <w:r>
        <w:rPr>
          <w:rFonts w:ascii="Arial" w:hAnsi="Arial"/>
        </w:rPr>
        <w:t>Resumen ejecutivo</w:t>
      </w:r>
    </w:p>
    <w:p w14:paraId="4BB4A250" w14:textId="6414188A" w:rsidR="0067487E" w:rsidRDefault="00DE1696" w:rsidP="00DE1696">
      <w:pPr>
        <w:pStyle w:val="ListParagraph"/>
        <w:widowControl w:val="0"/>
        <w:numPr>
          <w:ilvl w:val="0"/>
          <w:numId w:val="15"/>
        </w:numPr>
        <w:jc w:val="both"/>
        <w:rPr>
          <w:rFonts w:ascii="Arial" w:hAnsi="Arial" w:cs="Arial"/>
        </w:rPr>
      </w:pPr>
      <w:r>
        <w:rPr>
          <w:rFonts w:ascii="Arial" w:hAnsi="Arial"/>
        </w:rPr>
        <w:t>Introducción</w:t>
      </w:r>
    </w:p>
    <w:p w14:paraId="4B5FF03D" w14:textId="77777777" w:rsidR="0067487E" w:rsidRDefault="0067487E" w:rsidP="0067487E">
      <w:pPr>
        <w:pStyle w:val="ListParagraph"/>
        <w:widowControl w:val="0"/>
        <w:numPr>
          <w:ilvl w:val="0"/>
          <w:numId w:val="15"/>
        </w:numPr>
        <w:jc w:val="both"/>
        <w:rPr>
          <w:rFonts w:ascii="Arial" w:hAnsi="Arial" w:cs="Arial"/>
        </w:rPr>
      </w:pPr>
      <w:r>
        <w:rPr>
          <w:rFonts w:ascii="Arial" w:hAnsi="Arial"/>
        </w:rPr>
        <w:t>Antecedentes</w:t>
      </w:r>
    </w:p>
    <w:p w14:paraId="2B5C3571" w14:textId="77777777" w:rsidR="0067487E" w:rsidRDefault="00DE1696" w:rsidP="00DE1696">
      <w:pPr>
        <w:pStyle w:val="ListParagraph"/>
        <w:widowControl w:val="0"/>
        <w:numPr>
          <w:ilvl w:val="1"/>
          <w:numId w:val="15"/>
        </w:numPr>
        <w:jc w:val="both"/>
        <w:rPr>
          <w:rFonts w:ascii="Arial" w:hAnsi="Arial" w:cs="Arial"/>
        </w:rPr>
      </w:pPr>
      <w:r>
        <w:rPr>
          <w:rFonts w:ascii="Arial" w:hAnsi="Arial"/>
        </w:rPr>
        <w:t>Breve descripción del país/región en el que se ejecuta el programa</w:t>
      </w:r>
    </w:p>
    <w:p w14:paraId="35A857C0" w14:textId="77777777" w:rsidR="0067487E" w:rsidRDefault="00DE1696" w:rsidP="00DE1696">
      <w:pPr>
        <w:pStyle w:val="ListParagraph"/>
        <w:widowControl w:val="0"/>
        <w:numPr>
          <w:ilvl w:val="1"/>
          <w:numId w:val="15"/>
        </w:numPr>
        <w:jc w:val="both"/>
        <w:rPr>
          <w:rFonts w:ascii="Arial" w:hAnsi="Arial" w:cs="Arial"/>
        </w:rPr>
      </w:pPr>
      <w:r>
        <w:rPr>
          <w:rFonts w:ascii="Arial" w:hAnsi="Arial"/>
        </w:rPr>
        <w:t xml:space="preserve">Presentación del modelo lógico del programa </w:t>
      </w:r>
    </w:p>
    <w:p w14:paraId="6C4D26D0" w14:textId="77777777" w:rsidR="0067487E" w:rsidRDefault="00DE1696" w:rsidP="00DE1696">
      <w:pPr>
        <w:pStyle w:val="ListParagraph"/>
        <w:widowControl w:val="0"/>
        <w:numPr>
          <w:ilvl w:val="1"/>
          <w:numId w:val="15"/>
        </w:numPr>
        <w:jc w:val="both"/>
        <w:rPr>
          <w:rFonts w:ascii="Arial" w:hAnsi="Arial" w:cs="Arial"/>
        </w:rPr>
      </w:pPr>
      <w:r>
        <w:rPr>
          <w:rFonts w:ascii="Arial" w:hAnsi="Arial"/>
        </w:rPr>
        <w:t>Descripción del paquete de intervenciones del programa e hipótesis</w:t>
      </w:r>
    </w:p>
    <w:p w14:paraId="689AB683" w14:textId="533B5675" w:rsidR="0067487E" w:rsidRDefault="0067487E" w:rsidP="00DE1696">
      <w:pPr>
        <w:pStyle w:val="ListParagraph"/>
        <w:widowControl w:val="0"/>
        <w:numPr>
          <w:ilvl w:val="0"/>
          <w:numId w:val="15"/>
        </w:numPr>
        <w:jc w:val="both"/>
        <w:rPr>
          <w:rFonts w:ascii="Arial" w:hAnsi="Arial" w:cs="Arial"/>
        </w:rPr>
      </w:pPr>
      <w:r>
        <w:rPr>
          <w:rFonts w:ascii="Arial" w:hAnsi="Arial"/>
        </w:rPr>
        <w:t>Metodología</w:t>
      </w:r>
    </w:p>
    <w:p w14:paraId="48B5EDCC" w14:textId="5FC66E0D" w:rsidR="0067487E" w:rsidRDefault="0067487E" w:rsidP="0067487E">
      <w:pPr>
        <w:pStyle w:val="ListParagraph"/>
        <w:widowControl w:val="0"/>
        <w:numPr>
          <w:ilvl w:val="1"/>
          <w:numId w:val="15"/>
        </w:numPr>
        <w:jc w:val="both"/>
        <w:rPr>
          <w:rFonts w:ascii="Arial" w:hAnsi="Arial" w:cs="Arial"/>
        </w:rPr>
      </w:pPr>
      <w:r>
        <w:rPr>
          <w:rFonts w:ascii="Arial" w:hAnsi="Arial"/>
        </w:rPr>
        <w:t>Estrategia de identificación</w:t>
      </w:r>
    </w:p>
    <w:p w14:paraId="68DABCCE" w14:textId="0054164E" w:rsidR="0067487E" w:rsidRDefault="0067487E" w:rsidP="0067487E">
      <w:pPr>
        <w:pStyle w:val="ListParagraph"/>
        <w:widowControl w:val="0"/>
        <w:numPr>
          <w:ilvl w:val="1"/>
          <w:numId w:val="15"/>
        </w:numPr>
        <w:jc w:val="both"/>
        <w:rPr>
          <w:rFonts w:ascii="Arial" w:hAnsi="Arial" w:cs="Arial"/>
        </w:rPr>
      </w:pPr>
      <w:r>
        <w:rPr>
          <w:rFonts w:ascii="Arial" w:hAnsi="Arial"/>
        </w:rPr>
        <w:t>Muestreo</w:t>
      </w:r>
    </w:p>
    <w:p w14:paraId="50C10876" w14:textId="43E0E91B" w:rsidR="0067487E" w:rsidRDefault="0067487E" w:rsidP="0067487E">
      <w:pPr>
        <w:pStyle w:val="ListParagraph"/>
        <w:widowControl w:val="0"/>
        <w:numPr>
          <w:ilvl w:val="1"/>
          <w:numId w:val="15"/>
        </w:numPr>
        <w:jc w:val="both"/>
        <w:rPr>
          <w:rFonts w:ascii="Arial" w:hAnsi="Arial" w:cs="Arial"/>
        </w:rPr>
      </w:pPr>
      <w:r>
        <w:rPr>
          <w:rFonts w:ascii="Arial" w:hAnsi="Arial"/>
        </w:rPr>
        <w:t>Enfoque analítico</w:t>
      </w:r>
    </w:p>
    <w:p w14:paraId="1E05D4F5" w14:textId="7D35F600" w:rsidR="0067487E" w:rsidRDefault="0067487E" w:rsidP="0067487E">
      <w:pPr>
        <w:pStyle w:val="ListParagraph"/>
        <w:widowControl w:val="0"/>
        <w:numPr>
          <w:ilvl w:val="1"/>
          <w:numId w:val="15"/>
        </w:numPr>
        <w:jc w:val="both"/>
        <w:rPr>
          <w:rFonts w:ascii="Arial" w:hAnsi="Arial" w:cs="Arial"/>
        </w:rPr>
      </w:pPr>
      <w:r>
        <w:rPr>
          <w:rFonts w:ascii="Arial" w:hAnsi="Arial"/>
        </w:rPr>
        <w:t>Limitaciones y retos</w:t>
      </w:r>
    </w:p>
    <w:p w14:paraId="2CD12127" w14:textId="55850E4C" w:rsidR="0067487E" w:rsidRDefault="0067487E" w:rsidP="0067487E">
      <w:pPr>
        <w:pStyle w:val="ListParagraph"/>
        <w:widowControl w:val="0"/>
        <w:numPr>
          <w:ilvl w:val="0"/>
          <w:numId w:val="15"/>
        </w:numPr>
        <w:jc w:val="both"/>
        <w:rPr>
          <w:rFonts w:ascii="Arial" w:hAnsi="Arial" w:cs="Arial"/>
        </w:rPr>
      </w:pPr>
      <w:r>
        <w:rPr>
          <w:rFonts w:ascii="Arial" w:hAnsi="Arial"/>
        </w:rPr>
        <w:t>Resultados de la evaluación de impacto</w:t>
      </w:r>
    </w:p>
    <w:p w14:paraId="2995781E" w14:textId="5E59A2EE" w:rsidR="0067487E" w:rsidRDefault="0067487E" w:rsidP="00431024">
      <w:pPr>
        <w:pStyle w:val="ListParagraph"/>
        <w:widowControl w:val="0"/>
        <w:numPr>
          <w:ilvl w:val="0"/>
          <w:numId w:val="15"/>
        </w:numPr>
        <w:jc w:val="both"/>
        <w:rPr>
          <w:rFonts w:ascii="Arial" w:hAnsi="Arial" w:cs="Arial"/>
        </w:rPr>
      </w:pPr>
      <w:r>
        <w:rPr>
          <w:rFonts w:ascii="Arial" w:hAnsi="Arial"/>
        </w:rPr>
        <w:t>Discusión de los resultados</w:t>
      </w:r>
    </w:p>
    <w:p w14:paraId="22F49898" w14:textId="4E22D6C1" w:rsidR="0067487E" w:rsidRPr="0067487E" w:rsidRDefault="0067487E" w:rsidP="00431024">
      <w:pPr>
        <w:pStyle w:val="ListParagraph"/>
        <w:widowControl w:val="0"/>
        <w:numPr>
          <w:ilvl w:val="0"/>
          <w:numId w:val="15"/>
        </w:numPr>
        <w:jc w:val="both"/>
        <w:rPr>
          <w:rFonts w:ascii="Arial" w:hAnsi="Arial" w:cs="Arial"/>
        </w:rPr>
      </w:pPr>
      <w:r>
        <w:rPr>
          <w:rFonts w:ascii="Arial" w:hAnsi="Arial"/>
        </w:rPr>
        <w:t>Conclusiones y lecciones aprendidas</w:t>
      </w:r>
    </w:p>
    <w:p w14:paraId="148CC9F2" w14:textId="02216FE0" w:rsidR="00635B2A" w:rsidRPr="005F32BC" w:rsidRDefault="00DE1696" w:rsidP="005F32BC">
      <w:pPr>
        <w:pStyle w:val="ListParagraph"/>
        <w:widowControl w:val="0"/>
        <w:numPr>
          <w:ilvl w:val="0"/>
          <w:numId w:val="15"/>
        </w:numPr>
        <w:jc w:val="both"/>
        <w:rPr>
          <w:rFonts w:ascii="Arial" w:hAnsi="Arial" w:cs="Arial"/>
        </w:rPr>
      </w:pPr>
      <w:r>
        <w:rPr>
          <w:rFonts w:ascii="Arial" w:hAnsi="Arial"/>
        </w:rPr>
        <w:t xml:space="preserve">Anexos </w:t>
      </w:r>
    </w:p>
    <w:sectPr w:rsidR="00635B2A" w:rsidRPr="005F32BC" w:rsidSect="002F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DCF9" w14:textId="77777777" w:rsidR="00992CE4" w:rsidRDefault="00992CE4" w:rsidP="00867851">
      <w:pPr>
        <w:spacing w:after="0" w:line="240" w:lineRule="auto"/>
      </w:pPr>
      <w:r>
        <w:separator/>
      </w:r>
    </w:p>
  </w:endnote>
  <w:endnote w:type="continuationSeparator" w:id="0">
    <w:p w14:paraId="702CE787" w14:textId="77777777" w:rsidR="00992CE4" w:rsidRDefault="00992CE4"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762B" w14:textId="77777777" w:rsidR="00992CE4" w:rsidRDefault="00992CE4" w:rsidP="00867851">
      <w:pPr>
        <w:spacing w:after="0" w:line="240" w:lineRule="auto"/>
      </w:pPr>
      <w:r>
        <w:separator/>
      </w:r>
    </w:p>
  </w:footnote>
  <w:footnote w:type="continuationSeparator" w:id="0">
    <w:p w14:paraId="438E4FD0" w14:textId="77777777" w:rsidR="00992CE4" w:rsidRDefault="00992CE4" w:rsidP="0086785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63"/>
    <w:multiLevelType w:val="hybridMultilevel"/>
    <w:tmpl w:val="719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22A9"/>
    <w:multiLevelType w:val="hybridMultilevel"/>
    <w:tmpl w:val="226843C0"/>
    <w:lvl w:ilvl="0" w:tplc="52CE295C">
      <w:start w:val="5"/>
      <w:numFmt w:val="bullet"/>
      <w:lvlText w:val=""/>
      <w:lvlJc w:val="left"/>
      <w:pPr>
        <w:ind w:left="1080" w:hanging="360"/>
      </w:pPr>
      <w:rPr>
        <w:rFonts w:ascii="Wingdings" w:eastAsia="Calibri" w:hAnsi="Wingdings"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756A11"/>
    <w:multiLevelType w:val="hybridMultilevel"/>
    <w:tmpl w:val="170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7AE"/>
    <w:multiLevelType w:val="hybridMultilevel"/>
    <w:tmpl w:val="242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853CE8"/>
    <w:multiLevelType w:val="hybridMultilevel"/>
    <w:tmpl w:val="F49E02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CF14D"/>
    <w:multiLevelType w:val="hybridMultilevel"/>
    <w:tmpl w:val="2778AE1E"/>
    <w:lvl w:ilvl="0" w:tplc="340CFB46">
      <w:start w:val="1"/>
      <w:numFmt w:val="decimal"/>
      <w:lvlText w:val="%1."/>
      <w:lvlJc w:val="left"/>
      <w:pPr>
        <w:ind w:left="720" w:hanging="360"/>
      </w:pPr>
    </w:lvl>
    <w:lvl w:ilvl="1" w:tplc="6F905800">
      <w:start w:val="1"/>
      <w:numFmt w:val="lowerLetter"/>
      <w:lvlText w:val="%2."/>
      <w:lvlJc w:val="left"/>
      <w:pPr>
        <w:ind w:left="1440" w:hanging="360"/>
      </w:pPr>
    </w:lvl>
    <w:lvl w:ilvl="2" w:tplc="849CF84E">
      <w:start w:val="1"/>
      <w:numFmt w:val="lowerRoman"/>
      <w:lvlText w:val="%3."/>
      <w:lvlJc w:val="right"/>
      <w:pPr>
        <w:ind w:left="2160" w:hanging="180"/>
      </w:pPr>
    </w:lvl>
    <w:lvl w:ilvl="3" w:tplc="8AA67246">
      <w:start w:val="1"/>
      <w:numFmt w:val="decimal"/>
      <w:lvlText w:val="%4."/>
      <w:lvlJc w:val="left"/>
      <w:pPr>
        <w:ind w:left="2880" w:hanging="360"/>
      </w:pPr>
    </w:lvl>
    <w:lvl w:ilvl="4" w:tplc="7D489080">
      <w:start w:val="1"/>
      <w:numFmt w:val="lowerLetter"/>
      <w:lvlText w:val="%5."/>
      <w:lvlJc w:val="left"/>
      <w:pPr>
        <w:ind w:left="3600" w:hanging="360"/>
      </w:pPr>
    </w:lvl>
    <w:lvl w:ilvl="5" w:tplc="05A6036C">
      <w:start w:val="1"/>
      <w:numFmt w:val="lowerRoman"/>
      <w:lvlText w:val="%6."/>
      <w:lvlJc w:val="right"/>
      <w:pPr>
        <w:ind w:left="4320" w:hanging="180"/>
      </w:pPr>
    </w:lvl>
    <w:lvl w:ilvl="6" w:tplc="99A6211A">
      <w:start w:val="1"/>
      <w:numFmt w:val="decimal"/>
      <w:lvlText w:val="%7."/>
      <w:lvlJc w:val="left"/>
      <w:pPr>
        <w:ind w:left="5040" w:hanging="360"/>
      </w:pPr>
    </w:lvl>
    <w:lvl w:ilvl="7" w:tplc="51C087AC">
      <w:start w:val="1"/>
      <w:numFmt w:val="lowerLetter"/>
      <w:lvlText w:val="%8."/>
      <w:lvlJc w:val="left"/>
      <w:pPr>
        <w:ind w:left="5760" w:hanging="360"/>
      </w:pPr>
    </w:lvl>
    <w:lvl w:ilvl="8" w:tplc="756C3066">
      <w:start w:val="1"/>
      <w:numFmt w:val="lowerRoman"/>
      <w:lvlText w:val="%9."/>
      <w:lvlJc w:val="right"/>
      <w:pPr>
        <w:ind w:left="6480" w:hanging="180"/>
      </w:pPr>
    </w:lvl>
  </w:abstractNum>
  <w:abstractNum w:abstractNumId="10" w15:restartNumberingAfterBreak="0">
    <w:nsid w:val="3BE57AEF"/>
    <w:multiLevelType w:val="hybridMultilevel"/>
    <w:tmpl w:val="005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F921A0"/>
    <w:multiLevelType w:val="hybridMultilevel"/>
    <w:tmpl w:val="3BD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E90F2"/>
    <w:multiLevelType w:val="hybridMultilevel"/>
    <w:tmpl w:val="96162F5C"/>
    <w:lvl w:ilvl="0" w:tplc="3C70E956">
      <w:start w:val="1"/>
      <w:numFmt w:val="decimal"/>
      <w:lvlText w:val="%1."/>
      <w:lvlJc w:val="left"/>
      <w:pPr>
        <w:ind w:left="720" w:hanging="360"/>
      </w:pPr>
    </w:lvl>
    <w:lvl w:ilvl="1" w:tplc="37FE8CE8">
      <w:start w:val="1"/>
      <w:numFmt w:val="lowerLetter"/>
      <w:lvlText w:val="%2."/>
      <w:lvlJc w:val="left"/>
      <w:pPr>
        <w:ind w:left="1440" w:hanging="360"/>
      </w:pPr>
    </w:lvl>
    <w:lvl w:ilvl="2" w:tplc="14F446C6">
      <w:start w:val="1"/>
      <w:numFmt w:val="lowerRoman"/>
      <w:lvlText w:val="%3."/>
      <w:lvlJc w:val="right"/>
      <w:pPr>
        <w:ind w:left="2160" w:hanging="180"/>
      </w:pPr>
    </w:lvl>
    <w:lvl w:ilvl="3" w:tplc="9460989C">
      <w:start w:val="1"/>
      <w:numFmt w:val="decimal"/>
      <w:lvlText w:val="%4."/>
      <w:lvlJc w:val="left"/>
      <w:pPr>
        <w:ind w:left="2880" w:hanging="360"/>
      </w:pPr>
    </w:lvl>
    <w:lvl w:ilvl="4" w:tplc="262CF258">
      <w:start w:val="1"/>
      <w:numFmt w:val="lowerLetter"/>
      <w:lvlText w:val="%5."/>
      <w:lvlJc w:val="left"/>
      <w:pPr>
        <w:ind w:left="3600" w:hanging="360"/>
      </w:pPr>
    </w:lvl>
    <w:lvl w:ilvl="5" w:tplc="C9E0122C">
      <w:start w:val="1"/>
      <w:numFmt w:val="lowerRoman"/>
      <w:lvlText w:val="%6."/>
      <w:lvlJc w:val="right"/>
      <w:pPr>
        <w:ind w:left="4320" w:hanging="180"/>
      </w:pPr>
    </w:lvl>
    <w:lvl w:ilvl="6" w:tplc="78D867C4">
      <w:start w:val="1"/>
      <w:numFmt w:val="decimal"/>
      <w:lvlText w:val="%7."/>
      <w:lvlJc w:val="left"/>
      <w:pPr>
        <w:ind w:left="5040" w:hanging="360"/>
      </w:pPr>
    </w:lvl>
    <w:lvl w:ilvl="7" w:tplc="64A209AC">
      <w:start w:val="1"/>
      <w:numFmt w:val="lowerLetter"/>
      <w:lvlText w:val="%8."/>
      <w:lvlJc w:val="left"/>
      <w:pPr>
        <w:ind w:left="5760" w:hanging="360"/>
      </w:pPr>
    </w:lvl>
    <w:lvl w:ilvl="8" w:tplc="8CC4CD06">
      <w:start w:val="1"/>
      <w:numFmt w:val="lowerRoman"/>
      <w:lvlText w:val="%9."/>
      <w:lvlJc w:val="right"/>
      <w:pPr>
        <w:ind w:left="6480" w:hanging="180"/>
      </w:pPr>
    </w:lvl>
  </w:abstractNum>
  <w:abstractNum w:abstractNumId="14" w15:restartNumberingAfterBreak="0">
    <w:nsid w:val="6CD03563"/>
    <w:multiLevelType w:val="hybridMultilevel"/>
    <w:tmpl w:val="9E162A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83215">
    <w:abstractNumId w:val="13"/>
  </w:num>
  <w:num w:numId="2" w16cid:durableId="257443248">
    <w:abstractNumId w:val="9"/>
  </w:num>
  <w:num w:numId="3" w16cid:durableId="1602713283">
    <w:abstractNumId w:val="1"/>
  </w:num>
  <w:num w:numId="4" w16cid:durableId="220332234">
    <w:abstractNumId w:val="7"/>
  </w:num>
  <w:num w:numId="5" w16cid:durableId="2085367841">
    <w:abstractNumId w:val="6"/>
  </w:num>
  <w:num w:numId="6" w16cid:durableId="1111053712">
    <w:abstractNumId w:val="5"/>
  </w:num>
  <w:num w:numId="7" w16cid:durableId="1730111373">
    <w:abstractNumId w:val="15"/>
  </w:num>
  <w:num w:numId="8" w16cid:durableId="149101531">
    <w:abstractNumId w:val="11"/>
  </w:num>
  <w:num w:numId="9" w16cid:durableId="1372917550">
    <w:abstractNumId w:val="3"/>
  </w:num>
  <w:num w:numId="10" w16cid:durableId="892425965">
    <w:abstractNumId w:val="0"/>
  </w:num>
  <w:num w:numId="11" w16cid:durableId="96566391">
    <w:abstractNumId w:val="10"/>
  </w:num>
  <w:num w:numId="12" w16cid:durableId="2053379985">
    <w:abstractNumId w:val="12"/>
  </w:num>
  <w:num w:numId="13" w16cid:durableId="1728072495">
    <w:abstractNumId w:val="4"/>
  </w:num>
  <w:num w:numId="14" w16cid:durableId="1632175842">
    <w:abstractNumId w:val="14"/>
  </w:num>
  <w:num w:numId="15" w16cid:durableId="264533858">
    <w:abstractNumId w:val="8"/>
  </w:num>
  <w:num w:numId="16" w16cid:durableId="102350777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34F56"/>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C5CE0"/>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1075"/>
    <w:rsid w:val="003570A2"/>
    <w:rsid w:val="00357301"/>
    <w:rsid w:val="0038178B"/>
    <w:rsid w:val="00383527"/>
    <w:rsid w:val="003945A9"/>
    <w:rsid w:val="003A1863"/>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8625F"/>
    <w:rsid w:val="0049005B"/>
    <w:rsid w:val="0049264F"/>
    <w:rsid w:val="00492AC3"/>
    <w:rsid w:val="004C6E5A"/>
    <w:rsid w:val="004C721B"/>
    <w:rsid w:val="004E6983"/>
    <w:rsid w:val="004F074C"/>
    <w:rsid w:val="004F67C2"/>
    <w:rsid w:val="00504E08"/>
    <w:rsid w:val="00510DB0"/>
    <w:rsid w:val="005157FE"/>
    <w:rsid w:val="005162C3"/>
    <w:rsid w:val="00516E3D"/>
    <w:rsid w:val="0053164F"/>
    <w:rsid w:val="005335C9"/>
    <w:rsid w:val="00542136"/>
    <w:rsid w:val="0054254F"/>
    <w:rsid w:val="00546EB9"/>
    <w:rsid w:val="00553640"/>
    <w:rsid w:val="0056359F"/>
    <w:rsid w:val="00567649"/>
    <w:rsid w:val="00567FEA"/>
    <w:rsid w:val="005833F3"/>
    <w:rsid w:val="00585AFD"/>
    <w:rsid w:val="00590B8D"/>
    <w:rsid w:val="005B1988"/>
    <w:rsid w:val="005B5A4E"/>
    <w:rsid w:val="005C31DD"/>
    <w:rsid w:val="005C3D80"/>
    <w:rsid w:val="005C575E"/>
    <w:rsid w:val="005C7BF1"/>
    <w:rsid w:val="005D1461"/>
    <w:rsid w:val="005D2482"/>
    <w:rsid w:val="005E4529"/>
    <w:rsid w:val="005E453B"/>
    <w:rsid w:val="005E4D7E"/>
    <w:rsid w:val="005F32BC"/>
    <w:rsid w:val="005F3D25"/>
    <w:rsid w:val="00610375"/>
    <w:rsid w:val="00615B14"/>
    <w:rsid w:val="0061624B"/>
    <w:rsid w:val="00626246"/>
    <w:rsid w:val="00635B2A"/>
    <w:rsid w:val="006363CD"/>
    <w:rsid w:val="00637CCD"/>
    <w:rsid w:val="006417D4"/>
    <w:rsid w:val="00646DE3"/>
    <w:rsid w:val="00652276"/>
    <w:rsid w:val="00657D46"/>
    <w:rsid w:val="006613E7"/>
    <w:rsid w:val="0066537E"/>
    <w:rsid w:val="0067487E"/>
    <w:rsid w:val="00680E28"/>
    <w:rsid w:val="0068314E"/>
    <w:rsid w:val="006848C3"/>
    <w:rsid w:val="006860A8"/>
    <w:rsid w:val="0068694F"/>
    <w:rsid w:val="006930BC"/>
    <w:rsid w:val="00697E7D"/>
    <w:rsid w:val="006B30D4"/>
    <w:rsid w:val="006B5589"/>
    <w:rsid w:val="006C7D1F"/>
    <w:rsid w:val="006C7DCD"/>
    <w:rsid w:val="006D25ED"/>
    <w:rsid w:val="006F365A"/>
    <w:rsid w:val="006F5E91"/>
    <w:rsid w:val="006F7198"/>
    <w:rsid w:val="00706FD3"/>
    <w:rsid w:val="00707EBE"/>
    <w:rsid w:val="0071349F"/>
    <w:rsid w:val="00714D26"/>
    <w:rsid w:val="00726C3C"/>
    <w:rsid w:val="00727376"/>
    <w:rsid w:val="00740730"/>
    <w:rsid w:val="007511E2"/>
    <w:rsid w:val="0075157B"/>
    <w:rsid w:val="00753E3E"/>
    <w:rsid w:val="0075418C"/>
    <w:rsid w:val="00755D81"/>
    <w:rsid w:val="0076377F"/>
    <w:rsid w:val="00765C0D"/>
    <w:rsid w:val="007705C5"/>
    <w:rsid w:val="0078571A"/>
    <w:rsid w:val="00786646"/>
    <w:rsid w:val="0079264E"/>
    <w:rsid w:val="007A2A53"/>
    <w:rsid w:val="007A3A5E"/>
    <w:rsid w:val="007A6003"/>
    <w:rsid w:val="007C732F"/>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2CE4"/>
    <w:rsid w:val="0099356E"/>
    <w:rsid w:val="00993EDF"/>
    <w:rsid w:val="009A13BB"/>
    <w:rsid w:val="009C6108"/>
    <w:rsid w:val="009C6EB1"/>
    <w:rsid w:val="009C7A34"/>
    <w:rsid w:val="009D1092"/>
    <w:rsid w:val="009D4470"/>
    <w:rsid w:val="009E2223"/>
    <w:rsid w:val="009E24FB"/>
    <w:rsid w:val="009E4897"/>
    <w:rsid w:val="009F3C61"/>
    <w:rsid w:val="009F6187"/>
    <w:rsid w:val="00A002BC"/>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B114A6"/>
    <w:rsid w:val="00B31D90"/>
    <w:rsid w:val="00B35A18"/>
    <w:rsid w:val="00B41C1B"/>
    <w:rsid w:val="00B41EB5"/>
    <w:rsid w:val="00B46BF7"/>
    <w:rsid w:val="00B52A79"/>
    <w:rsid w:val="00B54482"/>
    <w:rsid w:val="00B753FE"/>
    <w:rsid w:val="00B759C0"/>
    <w:rsid w:val="00B813CC"/>
    <w:rsid w:val="00B85B64"/>
    <w:rsid w:val="00B86EBA"/>
    <w:rsid w:val="00B90C55"/>
    <w:rsid w:val="00B9264E"/>
    <w:rsid w:val="00B943ED"/>
    <w:rsid w:val="00BB2179"/>
    <w:rsid w:val="00BB45AB"/>
    <w:rsid w:val="00BB6062"/>
    <w:rsid w:val="00BD2738"/>
    <w:rsid w:val="00BD4AA9"/>
    <w:rsid w:val="00BD5CB1"/>
    <w:rsid w:val="00BE2D1E"/>
    <w:rsid w:val="00BF329F"/>
    <w:rsid w:val="00BF37F5"/>
    <w:rsid w:val="00BF4B69"/>
    <w:rsid w:val="00BF7EFB"/>
    <w:rsid w:val="00C13215"/>
    <w:rsid w:val="00C2246F"/>
    <w:rsid w:val="00C23A7E"/>
    <w:rsid w:val="00C27F24"/>
    <w:rsid w:val="00C27F4D"/>
    <w:rsid w:val="00C433BF"/>
    <w:rsid w:val="00C717B3"/>
    <w:rsid w:val="00C72C63"/>
    <w:rsid w:val="00C85087"/>
    <w:rsid w:val="00CB0462"/>
    <w:rsid w:val="00CB237C"/>
    <w:rsid w:val="00CC2106"/>
    <w:rsid w:val="00CC341C"/>
    <w:rsid w:val="00CC73DE"/>
    <w:rsid w:val="00CF40CC"/>
    <w:rsid w:val="00CF48CF"/>
    <w:rsid w:val="00D05D96"/>
    <w:rsid w:val="00D10828"/>
    <w:rsid w:val="00D14960"/>
    <w:rsid w:val="00D2578A"/>
    <w:rsid w:val="00D33256"/>
    <w:rsid w:val="00D44F6E"/>
    <w:rsid w:val="00D47AA6"/>
    <w:rsid w:val="00D52FA4"/>
    <w:rsid w:val="00D56C9B"/>
    <w:rsid w:val="00D61897"/>
    <w:rsid w:val="00D620D3"/>
    <w:rsid w:val="00D628C2"/>
    <w:rsid w:val="00D6329A"/>
    <w:rsid w:val="00D635F5"/>
    <w:rsid w:val="00D676A4"/>
    <w:rsid w:val="00D73A97"/>
    <w:rsid w:val="00D8140C"/>
    <w:rsid w:val="00D81CA1"/>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2672B"/>
    <w:rsid w:val="00E33B43"/>
    <w:rsid w:val="00E37A8A"/>
    <w:rsid w:val="00E4144A"/>
    <w:rsid w:val="00E4440B"/>
    <w:rsid w:val="00E45413"/>
    <w:rsid w:val="00E47C7A"/>
    <w:rsid w:val="00E541A4"/>
    <w:rsid w:val="00E5543A"/>
    <w:rsid w:val="00E862EB"/>
    <w:rsid w:val="00E95199"/>
    <w:rsid w:val="00EA4345"/>
    <w:rsid w:val="00EA5E86"/>
    <w:rsid w:val="00EB0BF7"/>
    <w:rsid w:val="00EB0E9A"/>
    <w:rsid w:val="00EB246D"/>
    <w:rsid w:val="00EB6280"/>
    <w:rsid w:val="00EC5A16"/>
    <w:rsid w:val="00EE4618"/>
    <w:rsid w:val="00EF7E85"/>
    <w:rsid w:val="00F10023"/>
    <w:rsid w:val="00F10D59"/>
    <w:rsid w:val="00F17015"/>
    <w:rsid w:val="00F26DCD"/>
    <w:rsid w:val="00F34D23"/>
    <w:rsid w:val="00F36074"/>
    <w:rsid w:val="00F40BF1"/>
    <w:rsid w:val="00F43AFA"/>
    <w:rsid w:val="00F45DBE"/>
    <w:rsid w:val="00F522D4"/>
    <w:rsid w:val="00F53223"/>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A36BAF3A-4845-4626-A05D-28440DA11B87}"/>
</file>

<file path=customXml/itemProps2.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3.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2579</Words>
  <Characters>14706</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9</cp:revision>
  <cp:lastPrinted>2023-09-13T18:18:00Z</cp:lastPrinted>
  <dcterms:created xsi:type="dcterms:W3CDTF">2023-10-24T06:20:00Z</dcterms:created>
  <dcterms:modified xsi:type="dcterms:W3CDTF">2023-10-24T10:27:00Z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