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0"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185"/>
      </w:tblGrid>
      <w:tr w:rsidR="00A529F8" w:rsidRPr="00056B16" w14:paraId="20D456EA" w14:textId="77777777" w:rsidTr="00214BCC">
        <w:tc>
          <w:tcPr>
            <w:tcW w:w="2325" w:type="dxa"/>
            <w:shd w:val="clear" w:color="auto" w:fill="auto"/>
            <w:tcMar>
              <w:top w:w="100" w:type="dxa"/>
              <w:left w:w="100" w:type="dxa"/>
              <w:bottom w:w="100" w:type="dxa"/>
              <w:right w:w="100" w:type="dxa"/>
            </w:tcMar>
          </w:tcPr>
          <w:p w14:paraId="0A2C7657" w14:textId="4583DF9C" w:rsidR="00A529F8" w:rsidRPr="00056B16" w:rsidRDefault="004565FE" w:rsidP="006569B7">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Titre du programme</w:t>
            </w:r>
          </w:p>
        </w:tc>
        <w:tc>
          <w:tcPr>
            <w:tcW w:w="7185" w:type="dxa"/>
            <w:shd w:val="clear" w:color="auto" w:fill="auto"/>
            <w:tcMar>
              <w:top w:w="100" w:type="dxa"/>
              <w:left w:w="100" w:type="dxa"/>
              <w:bottom w:w="100" w:type="dxa"/>
              <w:right w:w="100" w:type="dxa"/>
            </w:tcMar>
          </w:tcPr>
          <w:p w14:paraId="66C4A3FF" w14:textId="46766EB5" w:rsidR="00A529F8" w:rsidRPr="00056B16" w:rsidRDefault="005C31DD" w:rsidP="006569B7">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Initiative de résilience pastorale (PRI)</w:t>
            </w:r>
          </w:p>
        </w:tc>
      </w:tr>
      <w:tr w:rsidR="00A529F8" w:rsidRPr="00056B16" w14:paraId="1B207AC1" w14:textId="77777777" w:rsidTr="00214BCC">
        <w:tc>
          <w:tcPr>
            <w:tcW w:w="2325" w:type="dxa"/>
            <w:shd w:val="clear" w:color="auto" w:fill="auto"/>
            <w:tcMar>
              <w:top w:w="100" w:type="dxa"/>
              <w:left w:w="100" w:type="dxa"/>
              <w:bottom w:w="100" w:type="dxa"/>
              <w:right w:w="100" w:type="dxa"/>
            </w:tcMar>
          </w:tcPr>
          <w:p w14:paraId="0D170A5B" w14:textId="2ADBA7B3" w:rsidR="00A529F8" w:rsidRPr="00056B16" w:rsidRDefault="004565FE" w:rsidP="006569B7">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Lieu(x) du programme</w:t>
            </w:r>
          </w:p>
        </w:tc>
        <w:tc>
          <w:tcPr>
            <w:tcW w:w="7185" w:type="dxa"/>
            <w:shd w:val="clear" w:color="auto" w:fill="auto"/>
            <w:tcMar>
              <w:top w:w="100" w:type="dxa"/>
              <w:left w:w="100" w:type="dxa"/>
              <w:bottom w:w="100" w:type="dxa"/>
              <w:right w:w="100" w:type="dxa"/>
            </w:tcMar>
          </w:tcPr>
          <w:p w14:paraId="47F4F324" w14:textId="229EFB4F" w:rsidR="00A529F8" w:rsidRPr="00056B16" w:rsidRDefault="005C31DD" w:rsidP="006569B7">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Jalanda</w:t>
            </w:r>
            <w:r w:rsidR="00871FB2">
              <w:rPr>
                <w:rFonts w:ascii="Arial" w:hAnsi="Arial"/>
                <w:b/>
                <w:color w:val="5A5555"/>
                <w:sz w:val="17"/>
                <w:highlight w:val="white"/>
              </w:rPr>
              <w:t> </w:t>
            </w:r>
            <w:r>
              <w:rPr>
                <w:rFonts w:ascii="Arial" w:hAnsi="Arial"/>
                <w:b/>
                <w:color w:val="5A5555"/>
                <w:sz w:val="17"/>
                <w:highlight w:val="white"/>
              </w:rPr>
              <w:t>; tout le pays</w:t>
            </w:r>
            <w:r w:rsidR="00871FB2">
              <w:rPr>
                <w:rFonts w:ascii="Arial" w:hAnsi="Arial"/>
                <w:b/>
                <w:color w:val="5A5555"/>
                <w:sz w:val="17"/>
                <w:highlight w:val="white"/>
              </w:rPr>
              <w:t> </w:t>
            </w:r>
            <w:r>
              <w:rPr>
                <w:rFonts w:ascii="Arial" w:hAnsi="Arial"/>
                <w:b/>
                <w:color w:val="5A5555"/>
                <w:sz w:val="17"/>
                <w:highlight w:val="white"/>
              </w:rPr>
              <w:t>; enclavé d</w:t>
            </w:r>
            <w:r w:rsidR="00871FB2">
              <w:rPr>
                <w:rFonts w:ascii="Arial" w:hAnsi="Arial"/>
                <w:b/>
                <w:color w:val="5A5555"/>
                <w:sz w:val="17"/>
                <w:highlight w:val="white"/>
              </w:rPr>
              <w:t>’</w:t>
            </w:r>
            <w:r>
              <w:rPr>
                <w:rFonts w:ascii="Arial" w:hAnsi="Arial"/>
                <w:b/>
                <w:color w:val="5A5555"/>
                <w:sz w:val="17"/>
                <w:highlight w:val="white"/>
              </w:rPr>
              <w:t>environ 36</w:t>
            </w:r>
            <w:r w:rsidR="00871FB2">
              <w:rPr>
                <w:rFonts w:ascii="Arial" w:hAnsi="Arial"/>
                <w:b/>
                <w:color w:val="5A5555"/>
                <w:sz w:val="17"/>
                <w:highlight w:val="white"/>
              </w:rPr>
              <w:t> 000 </w:t>
            </w:r>
            <w:r>
              <w:rPr>
                <w:rFonts w:ascii="Arial" w:hAnsi="Arial"/>
                <w:b/>
                <w:color w:val="5A5555"/>
                <w:sz w:val="17"/>
                <w:highlight w:val="white"/>
              </w:rPr>
              <w:t>kilomètres carrés, limitrophe de 6</w:t>
            </w:r>
            <w:r w:rsidR="00871FB2">
              <w:rPr>
                <w:rFonts w:ascii="Arial" w:hAnsi="Arial"/>
                <w:b/>
                <w:color w:val="5A5555"/>
                <w:sz w:val="17"/>
                <w:highlight w:val="white"/>
              </w:rPr>
              <w:t> </w:t>
            </w:r>
            <w:r>
              <w:rPr>
                <w:rFonts w:ascii="Arial" w:hAnsi="Arial"/>
                <w:b/>
                <w:color w:val="5A5555"/>
                <w:sz w:val="17"/>
                <w:highlight w:val="white"/>
              </w:rPr>
              <w:t xml:space="preserve">autres pays. </w:t>
            </w:r>
          </w:p>
        </w:tc>
      </w:tr>
      <w:tr w:rsidR="00A529F8" w:rsidRPr="00056B16" w14:paraId="3FB5C2FA" w14:textId="77777777" w:rsidTr="00214BCC">
        <w:tc>
          <w:tcPr>
            <w:tcW w:w="2325" w:type="dxa"/>
            <w:shd w:val="clear" w:color="auto" w:fill="auto"/>
            <w:tcMar>
              <w:top w:w="100" w:type="dxa"/>
              <w:left w:w="100" w:type="dxa"/>
              <w:bottom w:w="100" w:type="dxa"/>
              <w:right w:w="100" w:type="dxa"/>
            </w:tcMar>
          </w:tcPr>
          <w:p w14:paraId="48120D50" w14:textId="77777777" w:rsidR="00A529F8" w:rsidRPr="00056B16" w:rsidRDefault="00A529F8" w:rsidP="006569B7">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highlight w:val="white"/>
              </w:rPr>
              <w:t>Durée</w:t>
            </w:r>
          </w:p>
        </w:tc>
        <w:tc>
          <w:tcPr>
            <w:tcW w:w="7185" w:type="dxa"/>
            <w:shd w:val="clear" w:color="auto" w:fill="auto"/>
            <w:tcMar>
              <w:top w:w="100" w:type="dxa"/>
              <w:left w:w="100" w:type="dxa"/>
              <w:bottom w:w="100" w:type="dxa"/>
              <w:right w:w="100" w:type="dxa"/>
            </w:tcMar>
          </w:tcPr>
          <w:p w14:paraId="77958FAC" w14:textId="2FE2B5D5" w:rsidR="00A529F8" w:rsidRPr="00056B16" w:rsidRDefault="00891021" w:rsidP="006569B7">
            <w:pPr>
              <w:widowControl w:val="0"/>
              <w:pBdr>
                <w:top w:val="nil"/>
                <w:left w:val="nil"/>
                <w:bottom w:val="nil"/>
                <w:right w:val="nil"/>
                <w:between w:val="nil"/>
              </w:pBdr>
              <w:spacing w:after="0" w:line="240" w:lineRule="auto"/>
              <w:rPr>
                <w:rFonts w:ascii="Arial" w:eastAsia="Arial" w:hAnsi="Arial" w:cs="Arial"/>
                <w:b/>
                <w:color w:val="5A5555"/>
                <w:sz w:val="17"/>
                <w:szCs w:val="17"/>
                <w:highlight w:val="white"/>
              </w:rPr>
            </w:pPr>
            <w:r>
              <w:rPr>
                <w:rFonts w:ascii="Arial" w:hAnsi="Arial"/>
                <w:b/>
                <w:color w:val="5A5555"/>
                <w:sz w:val="17"/>
              </w:rPr>
              <w:t>Les travaux devraient commencer peu après le démarrage du programme (1er</w:t>
            </w:r>
            <w:r w:rsidR="00871FB2">
              <w:rPr>
                <w:rFonts w:ascii="Arial" w:hAnsi="Arial"/>
                <w:b/>
                <w:color w:val="5A5555"/>
                <w:sz w:val="17"/>
              </w:rPr>
              <w:t> </w:t>
            </w:r>
            <w:r>
              <w:rPr>
                <w:rFonts w:ascii="Arial" w:hAnsi="Arial"/>
                <w:b/>
                <w:color w:val="5A5555"/>
                <w:sz w:val="17"/>
              </w:rPr>
              <w:t xml:space="preserve">octobre 2023) et le rapport </w:t>
            </w:r>
            <w:r>
              <w:rPr>
                <w:rFonts w:ascii="Arial" w:hAnsi="Arial"/>
                <w:b/>
                <w:i/>
                <w:color w:val="5A5555"/>
                <w:sz w:val="17"/>
                <w:u w:val="single"/>
              </w:rPr>
              <w:t>final</w:t>
            </w:r>
            <w:r>
              <w:rPr>
                <w:rFonts w:ascii="Arial" w:hAnsi="Arial"/>
                <w:b/>
                <w:color w:val="5A5555"/>
                <w:sz w:val="17"/>
              </w:rPr>
              <w:t xml:space="preserve"> doit être soumis au moins six mois avant la fin du programme (3</w:t>
            </w:r>
            <w:r w:rsidR="00871FB2">
              <w:rPr>
                <w:rFonts w:ascii="Arial" w:hAnsi="Arial"/>
                <w:b/>
                <w:color w:val="5A5555"/>
                <w:sz w:val="17"/>
              </w:rPr>
              <w:t>0 </w:t>
            </w:r>
            <w:r>
              <w:rPr>
                <w:rFonts w:ascii="Arial" w:hAnsi="Arial"/>
                <w:b/>
                <w:color w:val="5A5555"/>
                <w:sz w:val="17"/>
              </w:rPr>
              <w:t xml:space="preserve">septembre 2026).  </w:t>
            </w:r>
          </w:p>
        </w:tc>
      </w:tr>
    </w:tbl>
    <w:p w14:paraId="3B05D6A6" w14:textId="77777777" w:rsidR="00A529F8" w:rsidRPr="00056B16" w:rsidRDefault="00A529F8" w:rsidP="006569B7">
      <w:pPr>
        <w:spacing w:after="0" w:line="240" w:lineRule="auto"/>
        <w:jc w:val="both"/>
        <w:rPr>
          <w:rFonts w:ascii="Arial" w:eastAsia="Arial" w:hAnsi="Arial" w:cs="Arial"/>
          <w:b/>
          <w:color w:val="5A5555"/>
          <w:sz w:val="17"/>
          <w:szCs w:val="17"/>
          <w:highlight w:val="white"/>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529F8" w:rsidRPr="00056B16" w14:paraId="61189F12" w14:textId="77777777" w:rsidTr="00214BCC">
        <w:tc>
          <w:tcPr>
            <w:tcW w:w="9576" w:type="dxa"/>
            <w:tcBorders>
              <w:top w:val="nil"/>
              <w:left w:val="nil"/>
              <w:bottom w:val="nil"/>
              <w:right w:val="nil"/>
            </w:tcBorders>
            <w:shd w:val="clear" w:color="auto" w:fill="CF102D"/>
          </w:tcPr>
          <w:p w14:paraId="6A08725F" w14:textId="77777777" w:rsidR="00A529F8" w:rsidRPr="00056B16" w:rsidRDefault="00A529F8" w:rsidP="006569B7">
            <w:pPr>
              <w:spacing w:before="120" w:after="120" w:line="240" w:lineRule="auto"/>
              <w:jc w:val="both"/>
              <w:rPr>
                <w:rFonts w:ascii="Arial" w:hAnsi="Arial" w:cs="Arial"/>
                <w:b/>
                <w:color w:val="FFFFFF"/>
              </w:rPr>
            </w:pPr>
          </w:p>
        </w:tc>
      </w:tr>
    </w:tbl>
    <w:p w14:paraId="0E1D6176" w14:textId="77777777" w:rsidR="00B35A18" w:rsidRPr="00056B16" w:rsidRDefault="00B35A18" w:rsidP="006569B7">
      <w:pPr>
        <w:spacing w:after="0" w:line="240" w:lineRule="auto"/>
        <w:jc w:val="both"/>
        <w:rPr>
          <w:rFonts w:ascii="Arial" w:hAnsi="Arial" w:cs="Arial"/>
          <w:b/>
          <w:color w:val="666666"/>
        </w:rPr>
      </w:pPr>
    </w:p>
    <w:p w14:paraId="18A81F34" w14:textId="2C15DA25" w:rsidR="00B35A18" w:rsidRPr="00056B16" w:rsidRDefault="00A529F8" w:rsidP="006569B7">
      <w:pPr>
        <w:spacing w:after="0" w:line="240" w:lineRule="auto"/>
        <w:jc w:val="both"/>
        <w:rPr>
          <w:rFonts w:ascii="Arial" w:hAnsi="Arial" w:cs="Arial"/>
          <w:b/>
          <w:color w:val="666666"/>
        </w:rPr>
      </w:pPr>
      <w:r>
        <w:rPr>
          <w:rFonts w:ascii="Arial" w:hAnsi="Arial"/>
          <w:b/>
          <w:color w:val="666666"/>
        </w:rPr>
        <w:t xml:space="preserve">Contexte </w:t>
      </w:r>
    </w:p>
    <w:p w14:paraId="19DBD109" w14:textId="77777777" w:rsidR="00B35A18" w:rsidRPr="00056B16" w:rsidRDefault="00B35A18" w:rsidP="006569B7">
      <w:pPr>
        <w:spacing w:after="0" w:line="240" w:lineRule="auto"/>
        <w:jc w:val="both"/>
        <w:rPr>
          <w:rFonts w:ascii="Arial" w:hAnsi="Arial" w:cs="Arial"/>
          <w:b/>
          <w:color w:val="666666"/>
        </w:rPr>
      </w:pPr>
    </w:p>
    <w:p w14:paraId="01D3339F" w14:textId="4E28471B" w:rsidR="00D33256" w:rsidRDefault="005C31DD" w:rsidP="006569B7">
      <w:pPr>
        <w:spacing w:after="0" w:line="240" w:lineRule="auto"/>
        <w:jc w:val="both"/>
        <w:rPr>
          <w:rFonts w:ascii="Arial" w:hAnsi="Arial" w:cs="Arial"/>
        </w:rPr>
      </w:pPr>
      <w:r>
        <w:rPr>
          <w:rFonts w:ascii="Arial" w:hAnsi="Arial"/>
        </w:rPr>
        <w:t>L</w:t>
      </w:r>
      <w:r w:rsidR="00871FB2">
        <w:rPr>
          <w:rFonts w:ascii="Arial" w:hAnsi="Arial"/>
        </w:rPr>
        <w:t>’</w:t>
      </w:r>
      <w:r>
        <w:rPr>
          <w:rFonts w:ascii="Arial" w:hAnsi="Arial"/>
        </w:rPr>
        <w:t xml:space="preserve">initiative de résilience pastorale sera mise en œuvre au Jalanda </w:t>
      </w:r>
      <w:r w:rsidR="00871FB2">
        <w:rPr>
          <w:rFonts w:ascii="Arial" w:hAnsi="Arial"/>
        </w:rPr>
        <w:t>—</w:t>
      </w:r>
      <w:r>
        <w:rPr>
          <w:rFonts w:ascii="Arial" w:hAnsi="Arial"/>
        </w:rPr>
        <w:t xml:space="preserve"> un pays enclavé qui a des frontières avec six autres pays et dont les limites administratives sont constituées de cinq provinces et de plusieurs comtés au sein de chaque province, puis de districts, de wards et de villages. Le pays est confronté à une multitude de défis de développement résultant de l</w:t>
      </w:r>
      <w:r w:rsidR="00871FB2">
        <w:rPr>
          <w:rFonts w:ascii="Arial" w:hAnsi="Arial"/>
        </w:rPr>
        <w:t>’</w:t>
      </w:r>
      <w:r>
        <w:rPr>
          <w:rFonts w:ascii="Arial" w:hAnsi="Arial"/>
        </w:rPr>
        <w:t>effet combiné des conflits historiques et continus entre les communautés pastorales pour l</w:t>
      </w:r>
      <w:r w:rsidR="00871FB2">
        <w:rPr>
          <w:rFonts w:ascii="Arial" w:hAnsi="Arial"/>
        </w:rPr>
        <w:t>’</w:t>
      </w:r>
      <w:r>
        <w:rPr>
          <w:rFonts w:ascii="Arial" w:hAnsi="Arial"/>
        </w:rPr>
        <w:t>accès aux ressources en eau et en pâturages, exacerbés par les chocs climatiques et économiques qui ont entraîné des déplacements, la perte des moyens de subsistance, la perte de biens et d</w:t>
      </w:r>
      <w:r w:rsidR="00871FB2">
        <w:rPr>
          <w:rFonts w:ascii="Arial" w:hAnsi="Arial"/>
        </w:rPr>
        <w:t>’</w:t>
      </w:r>
      <w:r>
        <w:rPr>
          <w:rFonts w:ascii="Arial" w:hAnsi="Arial"/>
        </w:rPr>
        <w:t>actifs, la destruction des infrastructures et le dysfonctionnement des marchés, entre autres. Ces chocs ont également eu pour effet d</w:t>
      </w:r>
      <w:r w:rsidR="00871FB2">
        <w:rPr>
          <w:rFonts w:ascii="Arial" w:hAnsi="Arial"/>
        </w:rPr>
        <w:t>’</w:t>
      </w:r>
      <w:r>
        <w:rPr>
          <w:rFonts w:ascii="Arial" w:hAnsi="Arial"/>
        </w:rPr>
        <w:t>accroître les tensions intercommunautaires en raison de la pression accrue exercée sur les ressources limitées disponibles. En réponse à certains de ces chocs, les ménages ont été contraints de recourir à des mécanismes d</w:t>
      </w:r>
      <w:r w:rsidR="00871FB2">
        <w:rPr>
          <w:rFonts w:ascii="Arial" w:hAnsi="Arial"/>
        </w:rPr>
        <w:t>’</w:t>
      </w:r>
      <w:r>
        <w:rPr>
          <w:rFonts w:ascii="Arial" w:hAnsi="Arial"/>
        </w:rPr>
        <w:t xml:space="preserve">adaptation négatifs qui continuent de saper leurs opportunités économiques immédiates et à long terme. </w:t>
      </w:r>
    </w:p>
    <w:p w14:paraId="2A54807E" w14:textId="77777777" w:rsidR="00A529F8" w:rsidRPr="00056B16" w:rsidRDefault="00A529F8" w:rsidP="006569B7">
      <w:pPr>
        <w:spacing w:after="0" w:line="240" w:lineRule="auto"/>
        <w:jc w:val="both"/>
        <w:rPr>
          <w:rFonts w:ascii="Arial" w:hAnsi="Arial" w:cs="Arial"/>
          <w:b/>
        </w:rPr>
      </w:pPr>
    </w:p>
    <w:p w14:paraId="06D23B77" w14:textId="77777777" w:rsidR="00A529F8" w:rsidRPr="00056B16" w:rsidRDefault="00A529F8" w:rsidP="006569B7">
      <w:pPr>
        <w:spacing w:after="0" w:line="240" w:lineRule="auto"/>
        <w:ind w:left="360" w:hanging="360"/>
        <w:jc w:val="both"/>
        <w:rPr>
          <w:rFonts w:ascii="Arial" w:hAnsi="Arial" w:cs="Arial"/>
          <w:b/>
          <w:color w:val="666666"/>
        </w:rPr>
      </w:pPr>
      <w:r>
        <w:rPr>
          <w:rFonts w:ascii="Arial" w:hAnsi="Arial"/>
          <w:b/>
          <w:color w:val="666666"/>
        </w:rPr>
        <w:t xml:space="preserve">1) </w:t>
      </w:r>
      <w:r>
        <w:rPr>
          <w:rFonts w:ascii="Arial" w:hAnsi="Arial"/>
          <w:b/>
          <w:color w:val="666666"/>
        </w:rPr>
        <w:tab/>
        <w:t xml:space="preserve">Programme à évaluer </w:t>
      </w:r>
    </w:p>
    <w:p w14:paraId="7C30FB73" w14:textId="47AF91E8" w:rsidR="001F0526" w:rsidRPr="00056B16" w:rsidRDefault="001661B2" w:rsidP="006569B7">
      <w:pPr>
        <w:spacing w:after="0" w:line="240" w:lineRule="auto"/>
        <w:ind w:left="360"/>
        <w:jc w:val="both"/>
        <w:rPr>
          <w:rFonts w:ascii="Arial" w:hAnsi="Arial" w:cs="Arial"/>
        </w:rPr>
      </w:pPr>
      <w:r>
        <w:rPr>
          <w:rFonts w:ascii="Arial" w:hAnsi="Arial"/>
        </w:rPr>
        <w:t>Ce programme de trois ans débutera le 1er</w:t>
      </w:r>
      <w:r w:rsidR="00871FB2">
        <w:rPr>
          <w:rFonts w:ascii="Arial" w:hAnsi="Arial"/>
        </w:rPr>
        <w:t> </w:t>
      </w:r>
      <w:r>
        <w:rPr>
          <w:rFonts w:ascii="Arial" w:hAnsi="Arial"/>
        </w:rPr>
        <w:t>octobre 2023 et se terminera le 3</w:t>
      </w:r>
      <w:r w:rsidR="00871FB2">
        <w:rPr>
          <w:rFonts w:ascii="Arial" w:hAnsi="Arial"/>
        </w:rPr>
        <w:t>0 </w:t>
      </w:r>
      <w:r>
        <w:rPr>
          <w:rFonts w:ascii="Arial" w:hAnsi="Arial"/>
        </w:rPr>
        <w:t>septembre 2026. Mercy Corps dirige le consortium composé de deux ONG locales (Jalanda Cooperation Association et Pastoral Relief Organization) et de l</w:t>
      </w:r>
      <w:r w:rsidR="00871FB2">
        <w:rPr>
          <w:rFonts w:ascii="Arial" w:hAnsi="Arial"/>
        </w:rPr>
        <w:t>’</w:t>
      </w:r>
      <w:r>
        <w:rPr>
          <w:rFonts w:ascii="Arial" w:hAnsi="Arial"/>
        </w:rPr>
        <w:t>ONGI Worldwide Relief Everywhere. Les PRI travaillent dans quatre comtés de Maraluna Est et deux comtés de Maraluna Ouest</w:t>
      </w:r>
      <w:r w:rsidR="00871FB2">
        <w:rPr>
          <w:rFonts w:ascii="Arial" w:hAnsi="Arial"/>
        </w:rPr>
        <w:t> </w:t>
      </w:r>
      <w:r>
        <w:rPr>
          <w:rFonts w:ascii="Arial" w:hAnsi="Arial"/>
        </w:rPr>
        <w:t xml:space="preserve">; deux comtés de Maraluna Est (Lakuna et Isoka) sont parfois inaccessibles en cas de fortes pluies.  </w:t>
      </w:r>
    </w:p>
    <w:p w14:paraId="34C5FFFF" w14:textId="77777777" w:rsidR="001F0526" w:rsidRPr="00056B16" w:rsidRDefault="001F0526" w:rsidP="006569B7">
      <w:pPr>
        <w:spacing w:after="0" w:line="240" w:lineRule="auto"/>
        <w:ind w:left="360"/>
        <w:jc w:val="both"/>
        <w:rPr>
          <w:rFonts w:ascii="Arial" w:hAnsi="Arial" w:cs="Arial"/>
        </w:rPr>
      </w:pPr>
    </w:p>
    <w:p w14:paraId="6DF24A6E" w14:textId="76874EF7" w:rsidR="001F0526" w:rsidRPr="00056B16" w:rsidRDefault="00A12EEF" w:rsidP="006569B7">
      <w:pPr>
        <w:spacing w:after="0" w:line="240" w:lineRule="auto"/>
        <w:ind w:left="360"/>
        <w:jc w:val="both"/>
        <w:rPr>
          <w:rFonts w:ascii="Arial" w:hAnsi="Arial" w:cs="Arial"/>
        </w:rPr>
      </w:pPr>
      <w:r>
        <w:rPr>
          <w:rFonts w:ascii="Arial" w:hAnsi="Arial"/>
        </w:rPr>
        <w:t xml:space="preserve">Le cadre de résultats du programme est le suivant </w:t>
      </w:r>
    </w:p>
    <w:p w14:paraId="26598ACE" w14:textId="409D294D" w:rsidR="00A12EEF" w:rsidRPr="00056B16" w:rsidRDefault="00B54482" w:rsidP="006569B7">
      <w:pPr>
        <w:spacing w:after="0" w:line="240" w:lineRule="auto"/>
        <w:ind w:left="360"/>
        <w:jc w:val="center"/>
        <w:rPr>
          <w:rFonts w:ascii="Arial" w:hAnsi="Arial" w:cs="Arial"/>
        </w:rPr>
      </w:pPr>
      <w:r>
        <w:rPr>
          <w:rFonts w:ascii="Arial" w:hAnsi="Arial"/>
          <w:noProof/>
        </w:rPr>
        <w:lastRenderedPageBreak/>
        <w:drawing>
          <wp:inline distT="0" distB="0" distL="0" distR="0" wp14:anchorId="2F5B82DE" wp14:editId="73C74C92">
            <wp:extent cx="4005409" cy="3203032"/>
            <wp:effectExtent l="0" t="0" r="0" b="0"/>
            <wp:docPr id="19140135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20962" t="3362" r="20582" b="13430"/>
                    <a:stretch/>
                  </pic:blipFill>
                  <pic:spPr bwMode="auto">
                    <a:xfrm>
                      <a:off x="0" y="0"/>
                      <a:ext cx="4012423" cy="3208641"/>
                    </a:xfrm>
                    <a:prstGeom prst="rect">
                      <a:avLst/>
                    </a:prstGeom>
                    <a:noFill/>
                    <a:ln>
                      <a:noFill/>
                    </a:ln>
                    <a:extLst>
                      <a:ext uri="{53640926-AAD7-44D8-BBD7-CCE9431645EC}">
                        <a14:shadowObscured xmlns:a14="http://schemas.microsoft.com/office/drawing/2010/main"/>
                      </a:ext>
                    </a:extLst>
                  </pic:spPr>
                </pic:pic>
              </a:graphicData>
            </a:graphic>
          </wp:inline>
        </w:drawing>
      </w:r>
    </w:p>
    <w:p w14:paraId="32E0535D" w14:textId="77777777" w:rsidR="00A12EEF" w:rsidRPr="00056B16" w:rsidRDefault="00A12EEF" w:rsidP="006569B7">
      <w:pPr>
        <w:spacing w:after="0" w:line="240" w:lineRule="auto"/>
        <w:ind w:left="360"/>
        <w:jc w:val="both"/>
        <w:rPr>
          <w:rFonts w:ascii="Arial" w:hAnsi="Arial" w:cs="Arial"/>
        </w:rPr>
      </w:pPr>
    </w:p>
    <w:p w14:paraId="45BB1511" w14:textId="23FAFF1C" w:rsidR="00933617" w:rsidRPr="00056B16" w:rsidRDefault="00933617" w:rsidP="006569B7">
      <w:pPr>
        <w:spacing w:after="0" w:line="240" w:lineRule="auto"/>
        <w:ind w:left="360"/>
        <w:jc w:val="both"/>
        <w:rPr>
          <w:rFonts w:ascii="Arial" w:hAnsi="Arial" w:cs="Arial"/>
        </w:rPr>
      </w:pPr>
      <w:bookmarkStart w:id="0" w:name="_Hlk148020044"/>
      <w:r>
        <w:rPr>
          <w:rFonts w:ascii="Arial" w:hAnsi="Arial"/>
        </w:rPr>
        <w:t>Les principales interventions sont les suivantes</w:t>
      </w:r>
    </w:p>
    <w:tbl>
      <w:tblPr>
        <w:tblStyle w:val="TableGrid"/>
        <w:tblW w:w="9270" w:type="dxa"/>
        <w:tblInd w:w="85" w:type="dxa"/>
        <w:tblLook w:val="04A0" w:firstRow="1" w:lastRow="0" w:firstColumn="1" w:lastColumn="0" w:noHBand="0" w:noVBand="1"/>
      </w:tblPr>
      <w:tblGrid>
        <w:gridCol w:w="9270"/>
      </w:tblGrid>
      <w:tr w:rsidR="00A62733" w:rsidRPr="00056B16" w14:paraId="2CD3ECE0" w14:textId="77777777" w:rsidTr="006569B7">
        <w:trPr>
          <w:cantSplit/>
          <w:trHeight w:val="79"/>
        </w:trPr>
        <w:tc>
          <w:tcPr>
            <w:tcW w:w="9270" w:type="dxa"/>
          </w:tcPr>
          <w:p w14:paraId="171F74E3" w14:textId="3BB2791C" w:rsidR="00A62733" w:rsidRPr="00056B16" w:rsidRDefault="00A62733" w:rsidP="006569B7">
            <w:pPr>
              <w:spacing w:line="240" w:lineRule="auto"/>
              <w:jc w:val="center"/>
              <w:rPr>
                <w:rFonts w:ascii="Arial" w:hAnsi="Arial" w:cs="Arial"/>
                <w:b/>
                <w:color w:val="000000" w:themeColor="text1"/>
                <w:sz w:val="18"/>
                <w:szCs w:val="18"/>
                <w:highlight w:val="white"/>
              </w:rPr>
            </w:pPr>
            <w:r>
              <w:rPr>
                <w:rFonts w:ascii="Arial" w:hAnsi="Arial"/>
                <w:b/>
                <w:color w:val="000000" w:themeColor="text1"/>
                <w:sz w:val="18"/>
                <w:highlight w:val="white"/>
              </w:rPr>
              <w:t>Titre et description des principales interventions des PRI</w:t>
            </w:r>
          </w:p>
        </w:tc>
      </w:tr>
      <w:tr w:rsidR="00A62733" w:rsidRPr="00056B16" w14:paraId="1985A564" w14:textId="77777777" w:rsidTr="006569B7">
        <w:trPr>
          <w:cantSplit/>
          <w:trHeight w:val="1295"/>
        </w:trPr>
        <w:tc>
          <w:tcPr>
            <w:tcW w:w="9270" w:type="dxa"/>
          </w:tcPr>
          <w:p w14:paraId="5D99BEB5" w14:textId="00AADE2E" w:rsidR="00B54482" w:rsidRPr="00B54482" w:rsidRDefault="00B54482" w:rsidP="006569B7">
            <w:pPr>
              <w:pStyle w:val="ListParagraph"/>
              <w:numPr>
                <w:ilvl w:val="0"/>
                <w:numId w:val="9"/>
              </w:numPr>
              <w:spacing w:line="240" w:lineRule="auto"/>
              <w:rPr>
                <w:rFonts w:ascii="Arial" w:hAnsi="Arial" w:cs="Arial"/>
                <w:bCs/>
                <w:color w:val="000000" w:themeColor="text1"/>
                <w:sz w:val="18"/>
                <w:szCs w:val="18"/>
              </w:rPr>
            </w:pPr>
            <w:r>
              <w:rPr>
                <w:rFonts w:ascii="Arial" w:hAnsi="Arial"/>
                <w:color w:val="000000" w:themeColor="text1"/>
                <w:sz w:val="18"/>
              </w:rPr>
              <w:t>Soutien aux plans communautaires de gestion des risques de catastrophes</w:t>
            </w:r>
          </w:p>
          <w:p w14:paraId="593320FE" w14:textId="4C7C8E06" w:rsidR="00A62733" w:rsidRPr="00056B16" w:rsidRDefault="00B54482" w:rsidP="006569B7">
            <w:pPr>
              <w:spacing w:line="240" w:lineRule="auto"/>
              <w:rPr>
                <w:rFonts w:ascii="Arial" w:hAnsi="Arial" w:cs="Arial"/>
                <w:bCs/>
                <w:color w:val="000000" w:themeColor="text1"/>
                <w:sz w:val="18"/>
                <w:szCs w:val="18"/>
                <w:highlight w:val="white"/>
              </w:rPr>
            </w:pPr>
            <w:r>
              <w:rPr>
                <w:rFonts w:ascii="Arial" w:hAnsi="Arial"/>
                <w:color w:val="000000" w:themeColor="text1"/>
                <w:sz w:val="18"/>
              </w:rPr>
              <w:t>Les PRI renforceront les capacités de résilience des ménages et des communautés en soutenant l</w:t>
            </w:r>
            <w:r w:rsidR="00871FB2">
              <w:rPr>
                <w:rFonts w:ascii="Arial" w:hAnsi="Arial"/>
                <w:color w:val="000000" w:themeColor="text1"/>
                <w:sz w:val="18"/>
              </w:rPr>
              <w:t>’</w:t>
            </w:r>
            <w:r>
              <w:rPr>
                <w:rFonts w:ascii="Arial" w:hAnsi="Arial"/>
                <w:color w:val="000000" w:themeColor="text1"/>
                <w:sz w:val="18"/>
              </w:rPr>
              <w:t>analyse, la planification et l</w:t>
            </w:r>
            <w:r w:rsidR="00871FB2">
              <w:rPr>
                <w:rFonts w:ascii="Arial" w:hAnsi="Arial"/>
                <w:color w:val="000000" w:themeColor="text1"/>
                <w:sz w:val="18"/>
              </w:rPr>
              <w:t>’</w:t>
            </w:r>
            <w:r>
              <w:rPr>
                <w:rFonts w:ascii="Arial" w:hAnsi="Arial"/>
                <w:color w:val="000000" w:themeColor="text1"/>
                <w:sz w:val="18"/>
              </w:rPr>
              <w:t>action au niveau communautaire menées par le gouvernement en matière de gestion des risques de catastrophes (DRM) et d</w:t>
            </w:r>
            <w:r w:rsidR="00871FB2">
              <w:rPr>
                <w:rFonts w:ascii="Arial" w:hAnsi="Arial"/>
                <w:color w:val="000000" w:themeColor="text1"/>
                <w:sz w:val="18"/>
              </w:rPr>
              <w:t>’</w:t>
            </w:r>
            <w:r>
              <w:rPr>
                <w:rFonts w:ascii="Arial" w:hAnsi="Arial"/>
                <w:color w:val="000000" w:themeColor="text1"/>
                <w:sz w:val="18"/>
              </w:rPr>
              <w:t>adaptation au changement climatique, contribuant ainsi à améliorer l</w:t>
            </w:r>
            <w:r w:rsidR="00871FB2">
              <w:rPr>
                <w:rFonts w:ascii="Arial" w:hAnsi="Arial"/>
                <w:color w:val="000000" w:themeColor="text1"/>
                <w:sz w:val="18"/>
              </w:rPr>
              <w:t>’</w:t>
            </w:r>
            <w:r>
              <w:rPr>
                <w:rFonts w:ascii="Arial" w:hAnsi="Arial"/>
                <w:color w:val="000000" w:themeColor="text1"/>
                <w:sz w:val="18"/>
              </w:rPr>
              <w:t>adaptation des communautés au changement climatique.</w:t>
            </w:r>
          </w:p>
        </w:tc>
      </w:tr>
      <w:tr w:rsidR="0075418C" w:rsidRPr="00056B16" w14:paraId="5C712C1E" w14:textId="77777777" w:rsidTr="00A62733">
        <w:trPr>
          <w:cantSplit/>
        </w:trPr>
        <w:tc>
          <w:tcPr>
            <w:tcW w:w="9270" w:type="dxa"/>
          </w:tcPr>
          <w:p w14:paraId="52AF1BBB" w14:textId="61616D18" w:rsidR="0075418C" w:rsidRPr="0075418C" w:rsidRDefault="0075418C" w:rsidP="006569B7">
            <w:pPr>
              <w:pStyle w:val="ListParagraph"/>
              <w:numPr>
                <w:ilvl w:val="0"/>
                <w:numId w:val="9"/>
              </w:numPr>
              <w:spacing w:line="240" w:lineRule="auto"/>
              <w:rPr>
                <w:rFonts w:ascii="Arial" w:hAnsi="Arial" w:cs="Arial"/>
                <w:bCs/>
                <w:color w:val="000000" w:themeColor="text1"/>
                <w:sz w:val="18"/>
                <w:szCs w:val="18"/>
              </w:rPr>
            </w:pPr>
            <w:r>
              <w:rPr>
                <w:rFonts w:ascii="Arial" w:hAnsi="Arial"/>
                <w:color w:val="000000" w:themeColor="text1"/>
                <w:sz w:val="18"/>
              </w:rPr>
              <w:t>Amélioration des structures de communication pour les informations d</w:t>
            </w:r>
            <w:r w:rsidR="00871FB2">
              <w:rPr>
                <w:rFonts w:ascii="Arial" w:hAnsi="Arial"/>
                <w:color w:val="000000" w:themeColor="text1"/>
                <w:sz w:val="18"/>
              </w:rPr>
              <w:t>’</w:t>
            </w:r>
            <w:r>
              <w:rPr>
                <w:rFonts w:ascii="Arial" w:hAnsi="Arial"/>
                <w:color w:val="000000" w:themeColor="text1"/>
                <w:sz w:val="18"/>
              </w:rPr>
              <w:t>alerte précoce</w:t>
            </w:r>
          </w:p>
          <w:p w14:paraId="1031AAC6" w14:textId="7B825FE6" w:rsidR="0075418C" w:rsidRPr="0075418C" w:rsidRDefault="0075418C" w:rsidP="006569B7">
            <w:pPr>
              <w:spacing w:line="240" w:lineRule="auto"/>
              <w:rPr>
                <w:rFonts w:ascii="Arial" w:hAnsi="Arial" w:cs="Arial"/>
                <w:bCs/>
                <w:color w:val="000000" w:themeColor="text1"/>
                <w:sz w:val="18"/>
                <w:szCs w:val="18"/>
              </w:rPr>
            </w:pPr>
            <w:r>
              <w:rPr>
                <w:rFonts w:ascii="Arial" w:hAnsi="Arial"/>
                <w:color w:val="000000" w:themeColor="text1"/>
                <w:sz w:val="18"/>
              </w:rPr>
              <w:t>Pour s</w:t>
            </w:r>
            <w:r w:rsidR="00871FB2">
              <w:rPr>
                <w:rFonts w:ascii="Arial" w:hAnsi="Arial"/>
                <w:color w:val="000000" w:themeColor="text1"/>
                <w:sz w:val="18"/>
              </w:rPr>
              <w:t>’</w:t>
            </w:r>
            <w:r>
              <w:rPr>
                <w:rFonts w:ascii="Arial" w:hAnsi="Arial"/>
                <w:color w:val="000000" w:themeColor="text1"/>
                <w:sz w:val="18"/>
              </w:rPr>
              <w:t>assurer que les informations d</w:t>
            </w:r>
            <w:r w:rsidR="00871FB2">
              <w:rPr>
                <w:rFonts w:ascii="Arial" w:hAnsi="Arial"/>
                <w:color w:val="000000" w:themeColor="text1"/>
                <w:sz w:val="18"/>
              </w:rPr>
              <w:t>’</w:t>
            </w:r>
            <w:r>
              <w:rPr>
                <w:rFonts w:ascii="Arial" w:hAnsi="Arial"/>
                <w:color w:val="000000" w:themeColor="text1"/>
                <w:sz w:val="18"/>
              </w:rPr>
              <w:t>alerte précoce sont partagées dans le cadre d</w:t>
            </w:r>
            <w:r w:rsidR="00871FB2">
              <w:rPr>
                <w:rFonts w:ascii="Arial" w:hAnsi="Arial"/>
                <w:color w:val="000000" w:themeColor="text1"/>
                <w:sz w:val="18"/>
              </w:rPr>
              <w:t>’</w:t>
            </w:r>
            <w:r>
              <w:rPr>
                <w:rFonts w:ascii="Arial" w:hAnsi="Arial"/>
                <w:color w:val="000000" w:themeColor="text1"/>
                <w:sz w:val="18"/>
              </w:rPr>
              <w:t>une approche coordonnée, la PRI renforcera les mécanismes de communication entre les communautés et les différents niveaux administratifs du gouvernement. Les PRI vont cartographier et analyser la manière dont les systèmes d</w:t>
            </w:r>
            <w:r w:rsidR="00871FB2">
              <w:rPr>
                <w:rFonts w:ascii="Arial" w:hAnsi="Arial"/>
                <w:color w:val="000000" w:themeColor="text1"/>
                <w:sz w:val="18"/>
              </w:rPr>
              <w:t>’</w:t>
            </w:r>
            <w:r>
              <w:rPr>
                <w:rFonts w:ascii="Arial" w:hAnsi="Arial"/>
                <w:color w:val="000000" w:themeColor="text1"/>
                <w:sz w:val="18"/>
              </w:rPr>
              <w:t>alerte précoce (SAP) et les informations sur les conflits sont générés et diffusés afin d</w:t>
            </w:r>
            <w:r w:rsidR="00871FB2">
              <w:rPr>
                <w:rFonts w:ascii="Arial" w:hAnsi="Arial"/>
                <w:color w:val="000000" w:themeColor="text1"/>
                <w:sz w:val="18"/>
              </w:rPr>
              <w:t>’</w:t>
            </w:r>
            <w:r>
              <w:rPr>
                <w:rFonts w:ascii="Arial" w:hAnsi="Arial"/>
                <w:color w:val="000000" w:themeColor="text1"/>
                <w:sz w:val="18"/>
              </w:rPr>
              <w:t>éclairer des réformes plus larges du système. L</w:t>
            </w:r>
            <w:r w:rsidR="00871FB2">
              <w:rPr>
                <w:rFonts w:ascii="Arial" w:hAnsi="Arial"/>
                <w:color w:val="000000" w:themeColor="text1"/>
                <w:sz w:val="18"/>
              </w:rPr>
              <w:t>’</w:t>
            </w:r>
            <w:r>
              <w:rPr>
                <w:rFonts w:ascii="Arial" w:hAnsi="Arial"/>
                <w:color w:val="000000" w:themeColor="text1"/>
                <w:sz w:val="18"/>
              </w:rPr>
              <w:t>approche des PRI consiste à s</w:t>
            </w:r>
            <w:r w:rsidR="00871FB2">
              <w:rPr>
                <w:rFonts w:ascii="Arial" w:hAnsi="Arial"/>
                <w:color w:val="000000" w:themeColor="text1"/>
                <w:sz w:val="18"/>
              </w:rPr>
              <w:t>’</w:t>
            </w:r>
            <w:r>
              <w:rPr>
                <w:rFonts w:ascii="Arial" w:hAnsi="Arial"/>
                <w:color w:val="000000" w:themeColor="text1"/>
                <w:sz w:val="18"/>
              </w:rPr>
              <w:t>assurer que les flux d</w:t>
            </w:r>
            <w:r w:rsidR="00871FB2">
              <w:rPr>
                <w:rFonts w:ascii="Arial" w:hAnsi="Arial"/>
                <w:color w:val="000000" w:themeColor="text1"/>
                <w:sz w:val="18"/>
              </w:rPr>
              <w:t>’</w:t>
            </w:r>
            <w:r>
              <w:rPr>
                <w:rFonts w:ascii="Arial" w:hAnsi="Arial"/>
                <w:color w:val="000000" w:themeColor="text1"/>
                <w:sz w:val="18"/>
              </w:rPr>
              <w:t>informations sur les DRM sont bidirectionnels et que les informations sont partagées en temps opportun en fonction des dates importantes du calendrier liées aux événements saisonniers</w:t>
            </w:r>
            <w:r w:rsidR="00871FB2">
              <w:rPr>
                <w:rFonts w:ascii="Arial" w:hAnsi="Arial"/>
                <w:color w:val="000000" w:themeColor="text1"/>
                <w:sz w:val="18"/>
              </w:rPr>
              <w:t> </w:t>
            </w:r>
            <w:r>
              <w:rPr>
                <w:rFonts w:ascii="Arial" w:hAnsi="Arial"/>
                <w:color w:val="000000" w:themeColor="text1"/>
                <w:sz w:val="18"/>
              </w:rPr>
              <w:t xml:space="preserve">; par exemple, avant et après la saison des pluies. </w:t>
            </w:r>
          </w:p>
        </w:tc>
      </w:tr>
      <w:tr w:rsidR="00E2672B" w:rsidRPr="00056B16" w14:paraId="06953A6D" w14:textId="77777777" w:rsidTr="00A62733">
        <w:trPr>
          <w:cantSplit/>
        </w:trPr>
        <w:tc>
          <w:tcPr>
            <w:tcW w:w="9270" w:type="dxa"/>
          </w:tcPr>
          <w:p w14:paraId="622146FA" w14:textId="53A5EC12" w:rsidR="00E2672B" w:rsidRPr="00E2672B" w:rsidRDefault="00E2672B" w:rsidP="006569B7">
            <w:pPr>
              <w:pStyle w:val="ListParagraph"/>
              <w:numPr>
                <w:ilvl w:val="0"/>
                <w:numId w:val="9"/>
              </w:numPr>
              <w:spacing w:line="240" w:lineRule="auto"/>
              <w:rPr>
                <w:rFonts w:ascii="Arial" w:hAnsi="Arial" w:cs="Arial"/>
                <w:bCs/>
                <w:color w:val="000000" w:themeColor="text1"/>
                <w:sz w:val="18"/>
                <w:szCs w:val="18"/>
              </w:rPr>
            </w:pPr>
            <w:r>
              <w:rPr>
                <w:rFonts w:ascii="Arial" w:hAnsi="Arial"/>
                <w:color w:val="000000" w:themeColor="text1"/>
                <w:sz w:val="18"/>
              </w:rPr>
              <w:t>Renforcement des capacités des groupes cibles pour améliorer les connaissances, les compétences et les pratiques en vue d</w:t>
            </w:r>
            <w:r w:rsidR="00871FB2">
              <w:rPr>
                <w:rFonts w:ascii="Arial" w:hAnsi="Arial"/>
                <w:color w:val="000000" w:themeColor="text1"/>
                <w:sz w:val="18"/>
              </w:rPr>
              <w:t>’</w:t>
            </w:r>
            <w:r>
              <w:rPr>
                <w:rFonts w:ascii="Arial" w:hAnsi="Arial"/>
                <w:color w:val="000000" w:themeColor="text1"/>
                <w:sz w:val="18"/>
              </w:rPr>
              <w:t>une production animale productive, intelligente face au climat, sensible aux conflits et favorable à la nutrition.</w:t>
            </w:r>
          </w:p>
          <w:p w14:paraId="719BF1B9" w14:textId="7C5D3EB2" w:rsidR="00E2672B" w:rsidRPr="00D8140C" w:rsidRDefault="00E2672B" w:rsidP="006569B7">
            <w:pPr>
              <w:spacing w:line="240" w:lineRule="auto"/>
              <w:rPr>
                <w:rFonts w:ascii="Arial" w:hAnsi="Arial" w:cs="Arial"/>
                <w:bCs/>
                <w:color w:val="000000" w:themeColor="text1"/>
                <w:sz w:val="18"/>
                <w:szCs w:val="18"/>
              </w:rPr>
            </w:pPr>
            <w:r>
              <w:rPr>
                <w:rFonts w:ascii="Arial" w:hAnsi="Arial"/>
                <w:color w:val="000000" w:themeColor="text1"/>
                <w:sz w:val="18"/>
              </w:rPr>
              <w:t>En adoptant une approche axée sur les systèmes de marché, PRI travaillera avec des acteurs clés au sein du gouvernement, du secteur privé et des communautés pour aider à renforcer les capacités et à créer un environnement propice à la croissance du marché. Renforcement des capacités</w:t>
            </w:r>
            <w:r w:rsidR="00871FB2">
              <w:rPr>
                <w:rFonts w:ascii="Arial" w:hAnsi="Arial"/>
                <w:color w:val="000000" w:themeColor="text1"/>
                <w:sz w:val="18"/>
              </w:rPr>
              <w:t> </w:t>
            </w:r>
            <w:r>
              <w:rPr>
                <w:rFonts w:ascii="Arial" w:hAnsi="Arial"/>
                <w:color w:val="000000" w:themeColor="text1"/>
                <w:sz w:val="18"/>
              </w:rPr>
              <w:t>: Les PRI travailleront avec les bureaux régionaux de l</w:t>
            </w:r>
            <w:r w:rsidR="00871FB2">
              <w:rPr>
                <w:rFonts w:ascii="Arial" w:hAnsi="Arial"/>
                <w:color w:val="000000" w:themeColor="text1"/>
                <w:sz w:val="18"/>
              </w:rPr>
              <w:t>’</w:t>
            </w:r>
            <w:r>
              <w:rPr>
                <w:rFonts w:ascii="Arial" w:hAnsi="Arial"/>
                <w:color w:val="000000" w:themeColor="text1"/>
                <w:sz w:val="18"/>
              </w:rPr>
              <w:t>agriculture et du pastoralisme pour développer des manuels de services de vulgarisation pastorale contextualisés et transformateurs en termes de genre sur trois sujets clés</w:t>
            </w:r>
            <w:r w:rsidR="00871FB2">
              <w:rPr>
                <w:rFonts w:ascii="Arial" w:hAnsi="Arial"/>
                <w:color w:val="000000" w:themeColor="text1"/>
                <w:sz w:val="18"/>
              </w:rPr>
              <w:t> </w:t>
            </w:r>
            <w:r>
              <w:rPr>
                <w:rFonts w:ascii="Arial" w:hAnsi="Arial"/>
                <w:color w:val="000000" w:themeColor="text1"/>
                <w:sz w:val="18"/>
              </w:rPr>
              <w:t>: la production, l</w:t>
            </w:r>
            <w:r w:rsidR="00871FB2">
              <w:rPr>
                <w:rFonts w:ascii="Arial" w:hAnsi="Arial"/>
                <w:color w:val="000000" w:themeColor="text1"/>
                <w:sz w:val="18"/>
              </w:rPr>
              <w:t>’</w:t>
            </w:r>
            <w:r>
              <w:rPr>
                <w:rFonts w:ascii="Arial" w:hAnsi="Arial"/>
                <w:color w:val="000000" w:themeColor="text1"/>
                <w:sz w:val="18"/>
              </w:rPr>
              <w:t>alimentation et la gestion des prairies</w:t>
            </w:r>
            <w:r w:rsidR="00871FB2">
              <w:rPr>
                <w:rFonts w:ascii="Arial" w:hAnsi="Arial"/>
                <w:color w:val="000000" w:themeColor="text1"/>
                <w:sz w:val="18"/>
              </w:rPr>
              <w:t>/</w:t>
            </w:r>
            <w:r>
              <w:rPr>
                <w:rFonts w:ascii="Arial" w:hAnsi="Arial"/>
                <w:color w:val="000000" w:themeColor="text1"/>
                <w:sz w:val="18"/>
              </w:rPr>
              <w:t>des pâturages. Les PRI soutiendront les efforts du gouvernement pour renforcer et rendre opérationnelles les écoles pastorales de terrain en tant que modalité clé pour fournir des services de vulgarisation pastorale.</w:t>
            </w:r>
          </w:p>
        </w:tc>
      </w:tr>
      <w:tr w:rsidR="00E2672B" w:rsidRPr="00056B16" w14:paraId="2C69DFBB" w14:textId="77777777" w:rsidTr="00A62733">
        <w:trPr>
          <w:cantSplit/>
        </w:trPr>
        <w:tc>
          <w:tcPr>
            <w:tcW w:w="9270" w:type="dxa"/>
          </w:tcPr>
          <w:p w14:paraId="442F348A" w14:textId="19D363B5" w:rsidR="00E95199" w:rsidRDefault="00E95199" w:rsidP="006569B7">
            <w:pPr>
              <w:pStyle w:val="ListParagraph"/>
              <w:numPr>
                <w:ilvl w:val="0"/>
                <w:numId w:val="9"/>
              </w:numPr>
              <w:spacing w:line="240" w:lineRule="auto"/>
              <w:rPr>
                <w:rFonts w:ascii="Arial" w:hAnsi="Arial" w:cs="Arial"/>
                <w:bCs/>
                <w:color w:val="000000" w:themeColor="text1"/>
                <w:sz w:val="18"/>
                <w:szCs w:val="18"/>
              </w:rPr>
            </w:pPr>
            <w:r>
              <w:rPr>
                <w:rFonts w:ascii="Arial" w:hAnsi="Arial"/>
                <w:color w:val="000000" w:themeColor="text1"/>
                <w:sz w:val="18"/>
              </w:rPr>
              <w:lastRenderedPageBreak/>
              <w:t>Les pasteurs et les agropasteurs accèdent à des services de santé animale et d</w:t>
            </w:r>
            <w:r w:rsidR="00871FB2">
              <w:rPr>
                <w:rFonts w:ascii="Arial" w:hAnsi="Arial"/>
                <w:color w:val="000000" w:themeColor="text1"/>
                <w:sz w:val="18"/>
              </w:rPr>
              <w:t>’</w:t>
            </w:r>
            <w:r>
              <w:rPr>
                <w:rFonts w:ascii="Arial" w:hAnsi="Arial"/>
                <w:color w:val="000000" w:themeColor="text1"/>
                <w:sz w:val="18"/>
              </w:rPr>
              <w:t xml:space="preserve">élevage axés sur le marché et les utilisent pour une production animale résiliente. </w:t>
            </w:r>
          </w:p>
          <w:p w14:paraId="3F43F063" w14:textId="3DC3C01F" w:rsidR="00E2672B" w:rsidRPr="00056B16" w:rsidRDefault="00E95199" w:rsidP="006569B7">
            <w:pPr>
              <w:spacing w:line="240" w:lineRule="auto"/>
              <w:rPr>
                <w:rFonts w:ascii="Arial" w:hAnsi="Arial" w:cs="Arial"/>
                <w:bCs/>
                <w:color w:val="000000" w:themeColor="text1"/>
                <w:sz w:val="18"/>
                <w:szCs w:val="18"/>
                <w:highlight w:val="white"/>
              </w:rPr>
            </w:pPr>
            <w:r>
              <w:rPr>
                <w:rFonts w:ascii="Arial" w:hAnsi="Arial"/>
                <w:color w:val="000000" w:themeColor="text1"/>
                <w:sz w:val="18"/>
              </w:rPr>
              <w:t>La fragmentation et la dégradation des pâturages ayant augmenté au cours de la dernière décennie, les intrants et les services revêtent une importance croissante pour les éleveurs. Les PRI développeront les compétences entrepreneuriales d</w:t>
            </w:r>
            <w:r w:rsidR="00871FB2">
              <w:rPr>
                <w:rFonts w:ascii="Arial" w:hAnsi="Arial"/>
                <w:color w:val="000000" w:themeColor="text1"/>
                <w:sz w:val="18"/>
              </w:rPr>
              <w:t>’</w:t>
            </w:r>
            <w:r>
              <w:rPr>
                <w:rFonts w:ascii="Arial" w:hAnsi="Arial"/>
                <w:color w:val="000000" w:themeColor="text1"/>
                <w:sz w:val="18"/>
              </w:rPr>
              <w:t>un réseau d</w:t>
            </w:r>
            <w:r w:rsidR="00871FB2">
              <w:rPr>
                <w:rFonts w:ascii="Arial" w:hAnsi="Arial"/>
                <w:color w:val="000000" w:themeColor="text1"/>
                <w:sz w:val="18"/>
              </w:rPr>
              <w:t>’</w:t>
            </w:r>
            <w:r>
              <w:rPr>
                <w:rFonts w:ascii="Arial" w:hAnsi="Arial"/>
                <w:color w:val="000000" w:themeColor="text1"/>
                <w:sz w:val="18"/>
              </w:rPr>
              <w:t xml:space="preserve">agents communautaires de santé animale (ACSA) et de vétérinaires et agiront en tant que </w:t>
            </w:r>
            <w:r w:rsidR="00871FB2">
              <w:rPr>
                <w:rFonts w:ascii="Arial" w:hAnsi="Arial"/>
                <w:color w:val="000000" w:themeColor="text1"/>
                <w:sz w:val="18"/>
              </w:rPr>
              <w:t>prestataires</w:t>
            </w:r>
            <w:r>
              <w:rPr>
                <w:rFonts w:ascii="Arial" w:hAnsi="Arial"/>
                <w:color w:val="000000" w:themeColor="text1"/>
                <w:sz w:val="18"/>
              </w:rPr>
              <w:t xml:space="preserve"> de services de dernier kilomètre pour relier les éleveurs vivant dans des zones reculées aux points de vente vétérinaires, qui à leur tour soutiendront les ACSA et les vétérinaires. Les PRI relieront également ce réseau de fournisseurs de services du dernier kilomètre aux institutions financières. </w:t>
            </w:r>
          </w:p>
        </w:tc>
      </w:tr>
      <w:tr w:rsidR="00E2672B" w:rsidRPr="00056B16" w14:paraId="7E69F51B" w14:textId="77777777" w:rsidTr="00A62733">
        <w:trPr>
          <w:cantSplit/>
        </w:trPr>
        <w:tc>
          <w:tcPr>
            <w:tcW w:w="9270" w:type="dxa"/>
          </w:tcPr>
          <w:p w14:paraId="2304420D" w14:textId="77777777" w:rsidR="0048625F" w:rsidRPr="0048625F" w:rsidRDefault="0048625F" w:rsidP="006569B7">
            <w:pPr>
              <w:pStyle w:val="ListParagraph"/>
              <w:numPr>
                <w:ilvl w:val="0"/>
                <w:numId w:val="9"/>
              </w:numPr>
              <w:spacing w:line="240" w:lineRule="auto"/>
              <w:rPr>
                <w:rFonts w:ascii="Arial" w:hAnsi="Arial" w:cs="Arial"/>
                <w:bCs/>
                <w:color w:val="000000" w:themeColor="text1"/>
                <w:sz w:val="18"/>
                <w:szCs w:val="18"/>
                <w:highlight w:val="white"/>
              </w:rPr>
            </w:pPr>
            <w:r>
              <w:rPr>
                <w:rFonts w:ascii="Arial" w:hAnsi="Arial"/>
                <w:color w:val="000000" w:themeColor="text1"/>
                <w:sz w:val="18"/>
              </w:rPr>
              <w:t>Amélioration de la gestion des parcours pour une production durable</w:t>
            </w:r>
          </w:p>
          <w:p w14:paraId="6E062FF0" w14:textId="1FB7C9C4" w:rsidR="0048625F" w:rsidRPr="0048625F" w:rsidRDefault="0048625F" w:rsidP="006569B7">
            <w:pPr>
              <w:spacing w:line="240" w:lineRule="auto"/>
              <w:rPr>
                <w:rFonts w:ascii="Arial" w:hAnsi="Arial" w:cs="Arial"/>
                <w:bCs/>
                <w:color w:val="000000" w:themeColor="text1"/>
                <w:sz w:val="18"/>
                <w:szCs w:val="18"/>
                <w:highlight w:val="white"/>
              </w:rPr>
            </w:pPr>
            <w:r>
              <w:rPr>
                <w:rFonts w:ascii="Arial" w:hAnsi="Arial"/>
                <w:color w:val="000000" w:themeColor="text1"/>
                <w:sz w:val="18"/>
              </w:rPr>
              <w:t>Les PRI soutiendront les plans de gestion polyvalente des parcours (utilisation des terres), ainsi que le renforcement des institutions coutumières, telles que les conseils de parcours, afin de mettre en œuvre ces plans et de travailler avec les communautés, notamment en mettant l</w:t>
            </w:r>
            <w:r w:rsidR="00871FB2">
              <w:rPr>
                <w:rFonts w:ascii="Arial" w:hAnsi="Arial"/>
                <w:color w:val="000000" w:themeColor="text1"/>
                <w:sz w:val="18"/>
              </w:rPr>
              <w:t>’</w:t>
            </w:r>
            <w:r>
              <w:rPr>
                <w:rFonts w:ascii="Arial" w:hAnsi="Arial"/>
                <w:color w:val="000000" w:themeColor="text1"/>
                <w:sz w:val="18"/>
              </w:rPr>
              <w:t>accent sur la réduction des conflits liés aux ressources naturelles. Les PRI veilleront à ce que les activités relatives aux droits fonciers et à la productivité des terres s</w:t>
            </w:r>
            <w:r w:rsidR="00871FB2">
              <w:rPr>
                <w:rFonts w:ascii="Arial" w:hAnsi="Arial"/>
                <w:color w:val="000000" w:themeColor="text1"/>
                <w:sz w:val="18"/>
              </w:rPr>
              <w:t>’</w:t>
            </w:r>
            <w:r>
              <w:rPr>
                <w:rFonts w:ascii="Arial" w:hAnsi="Arial"/>
                <w:color w:val="000000" w:themeColor="text1"/>
                <w:sz w:val="18"/>
              </w:rPr>
              <w:t>appuient sur une réflexion sur la résilience et sur des pratiques tenant compte des conflits. Les activités incluront une représentation de tous les groupes politiques, ethniques et autres groupes identitaires, de sorte que les décisions prises en matière d</w:t>
            </w:r>
            <w:r w:rsidR="00871FB2">
              <w:rPr>
                <w:rFonts w:ascii="Arial" w:hAnsi="Arial"/>
                <w:color w:val="000000" w:themeColor="text1"/>
                <w:sz w:val="18"/>
              </w:rPr>
              <w:t>’</w:t>
            </w:r>
            <w:r>
              <w:rPr>
                <w:rFonts w:ascii="Arial" w:hAnsi="Arial"/>
                <w:color w:val="000000" w:themeColor="text1"/>
                <w:sz w:val="18"/>
              </w:rPr>
              <w:t>occupation et d</w:t>
            </w:r>
            <w:r w:rsidR="00871FB2">
              <w:rPr>
                <w:rFonts w:ascii="Arial" w:hAnsi="Arial"/>
                <w:color w:val="000000" w:themeColor="text1"/>
                <w:sz w:val="18"/>
              </w:rPr>
              <w:t>’</w:t>
            </w:r>
            <w:r>
              <w:rPr>
                <w:rFonts w:ascii="Arial" w:hAnsi="Arial"/>
                <w:color w:val="000000" w:themeColor="text1"/>
                <w:sz w:val="18"/>
              </w:rPr>
              <w:t>accès aux pâturages et aux ressources en eau soient éclairées par tous les acteurs concernés et aient plus de chances de bénéficier d</w:t>
            </w:r>
            <w:r w:rsidR="00871FB2">
              <w:rPr>
                <w:rFonts w:ascii="Arial" w:hAnsi="Arial"/>
                <w:color w:val="000000" w:themeColor="text1"/>
                <w:sz w:val="18"/>
              </w:rPr>
              <w:t>’</w:t>
            </w:r>
            <w:r>
              <w:rPr>
                <w:rFonts w:ascii="Arial" w:hAnsi="Arial"/>
                <w:color w:val="000000" w:themeColor="text1"/>
                <w:sz w:val="18"/>
              </w:rPr>
              <w:t>un large soutien et d</w:t>
            </w:r>
            <w:r w:rsidR="00871FB2">
              <w:rPr>
                <w:rFonts w:ascii="Arial" w:hAnsi="Arial"/>
                <w:color w:val="000000" w:themeColor="text1"/>
                <w:sz w:val="18"/>
              </w:rPr>
              <w:t>’</w:t>
            </w:r>
            <w:r>
              <w:rPr>
                <w:rFonts w:ascii="Arial" w:hAnsi="Arial"/>
                <w:color w:val="000000" w:themeColor="text1"/>
                <w:sz w:val="18"/>
              </w:rPr>
              <w:t>être durables.</w:t>
            </w:r>
          </w:p>
        </w:tc>
      </w:tr>
      <w:tr w:rsidR="00E2672B" w:rsidRPr="00056B16" w14:paraId="2E597675" w14:textId="77777777" w:rsidTr="00A62733">
        <w:trPr>
          <w:cantSplit/>
        </w:trPr>
        <w:tc>
          <w:tcPr>
            <w:tcW w:w="9270" w:type="dxa"/>
          </w:tcPr>
          <w:p w14:paraId="664419DB" w14:textId="484E430B" w:rsidR="00706FD3" w:rsidRPr="00706FD3" w:rsidRDefault="00706FD3" w:rsidP="006569B7">
            <w:pPr>
              <w:pStyle w:val="ListParagraph"/>
              <w:numPr>
                <w:ilvl w:val="0"/>
                <w:numId w:val="9"/>
              </w:numPr>
              <w:spacing w:line="240" w:lineRule="auto"/>
              <w:rPr>
                <w:rFonts w:ascii="Arial" w:hAnsi="Arial" w:cs="Arial"/>
                <w:bCs/>
                <w:color w:val="000000" w:themeColor="text1"/>
                <w:sz w:val="18"/>
                <w:szCs w:val="18"/>
                <w:highlight w:val="white"/>
              </w:rPr>
            </w:pPr>
            <w:r>
              <w:rPr>
                <w:rFonts w:ascii="Arial" w:hAnsi="Arial"/>
                <w:color w:val="000000" w:themeColor="text1"/>
                <w:sz w:val="18"/>
              </w:rPr>
              <w:t>Amélioration de l</w:t>
            </w:r>
            <w:r w:rsidR="00871FB2">
              <w:rPr>
                <w:rFonts w:ascii="Arial" w:hAnsi="Arial"/>
                <w:color w:val="000000" w:themeColor="text1"/>
                <w:sz w:val="18"/>
              </w:rPr>
              <w:t>’</w:t>
            </w:r>
            <w:r>
              <w:rPr>
                <w:rFonts w:ascii="Arial" w:hAnsi="Arial"/>
                <w:color w:val="000000" w:themeColor="text1"/>
                <w:sz w:val="18"/>
              </w:rPr>
              <w:t>accès aux sources d</w:t>
            </w:r>
            <w:r w:rsidR="00871FB2">
              <w:rPr>
                <w:rFonts w:ascii="Arial" w:hAnsi="Arial"/>
                <w:color w:val="000000" w:themeColor="text1"/>
                <w:sz w:val="18"/>
              </w:rPr>
              <w:t>’</w:t>
            </w:r>
            <w:r>
              <w:rPr>
                <w:rFonts w:ascii="Arial" w:hAnsi="Arial"/>
                <w:color w:val="000000" w:themeColor="text1"/>
                <w:sz w:val="18"/>
              </w:rPr>
              <w:t>eau pour la consommation du bétail</w:t>
            </w:r>
          </w:p>
          <w:p w14:paraId="4898F0C4" w14:textId="7B54A0F3" w:rsidR="00706FD3" w:rsidRPr="00706FD3" w:rsidRDefault="00706FD3" w:rsidP="006569B7">
            <w:pPr>
              <w:spacing w:line="240" w:lineRule="auto"/>
              <w:rPr>
                <w:rFonts w:ascii="Arial" w:hAnsi="Arial" w:cs="Arial"/>
                <w:bCs/>
                <w:color w:val="000000" w:themeColor="text1"/>
                <w:sz w:val="18"/>
                <w:szCs w:val="18"/>
                <w:highlight w:val="white"/>
              </w:rPr>
            </w:pPr>
            <w:r>
              <w:rPr>
                <w:rFonts w:ascii="Arial" w:hAnsi="Arial"/>
                <w:color w:val="000000" w:themeColor="text1"/>
                <w:sz w:val="18"/>
              </w:rPr>
              <w:t>Les PRI aborderont l</w:t>
            </w:r>
            <w:r w:rsidR="00871FB2">
              <w:rPr>
                <w:rFonts w:ascii="Arial" w:hAnsi="Arial"/>
                <w:color w:val="000000" w:themeColor="text1"/>
                <w:sz w:val="18"/>
              </w:rPr>
              <w:t>’</w:t>
            </w:r>
            <w:r>
              <w:rPr>
                <w:rFonts w:ascii="Arial" w:hAnsi="Arial"/>
                <w:color w:val="000000" w:themeColor="text1"/>
                <w:sz w:val="18"/>
              </w:rPr>
              <w:t>accès à l</w:t>
            </w:r>
            <w:r w:rsidR="00871FB2">
              <w:rPr>
                <w:rFonts w:ascii="Arial" w:hAnsi="Arial"/>
                <w:color w:val="000000" w:themeColor="text1"/>
                <w:sz w:val="18"/>
              </w:rPr>
              <w:t>’</w:t>
            </w:r>
            <w:r>
              <w:rPr>
                <w:rFonts w:ascii="Arial" w:hAnsi="Arial"/>
                <w:color w:val="000000" w:themeColor="text1"/>
                <w:sz w:val="18"/>
              </w:rPr>
              <w:t>eau pour la consommation du bétail en soutenant et en améliorant les systèmes formels et informels de gouvernance de l</w:t>
            </w:r>
            <w:r w:rsidR="00871FB2">
              <w:rPr>
                <w:rFonts w:ascii="Arial" w:hAnsi="Arial"/>
                <w:color w:val="000000" w:themeColor="text1"/>
                <w:sz w:val="18"/>
              </w:rPr>
              <w:t>’</w:t>
            </w:r>
            <w:r>
              <w:rPr>
                <w:rFonts w:ascii="Arial" w:hAnsi="Arial"/>
                <w:color w:val="000000" w:themeColor="text1"/>
                <w:sz w:val="18"/>
              </w:rPr>
              <w:t>eau, y compris en explorant le rôle des acteurs du secteur privé. Les PRI travailleront avec environ deux acteurs du secteur privé pour développer des entreprises et des plans axés sur la commercialisation de l</w:t>
            </w:r>
            <w:r w:rsidR="00871FB2">
              <w:rPr>
                <w:rFonts w:ascii="Arial" w:hAnsi="Arial"/>
                <w:color w:val="000000" w:themeColor="text1"/>
                <w:sz w:val="18"/>
              </w:rPr>
              <w:t>’</w:t>
            </w:r>
            <w:r>
              <w:rPr>
                <w:rFonts w:ascii="Arial" w:hAnsi="Arial"/>
                <w:color w:val="000000" w:themeColor="text1"/>
                <w:sz w:val="18"/>
              </w:rPr>
              <w:t>eau, tout en facilitant la mise en œuvre de stratégies visant à créer des systèmes et des dispositifs de gestion qui garantissent l</w:t>
            </w:r>
            <w:r w:rsidR="00871FB2">
              <w:rPr>
                <w:rFonts w:ascii="Arial" w:hAnsi="Arial"/>
                <w:color w:val="000000" w:themeColor="text1"/>
                <w:sz w:val="18"/>
              </w:rPr>
              <w:t>’</w:t>
            </w:r>
            <w:r>
              <w:rPr>
                <w:rFonts w:ascii="Arial" w:hAnsi="Arial"/>
                <w:color w:val="000000" w:themeColor="text1"/>
                <w:sz w:val="18"/>
              </w:rPr>
              <w:t>accès des femmes à l</w:t>
            </w:r>
            <w:r w:rsidR="00871FB2">
              <w:rPr>
                <w:rFonts w:ascii="Arial" w:hAnsi="Arial"/>
                <w:color w:val="000000" w:themeColor="text1"/>
                <w:sz w:val="18"/>
              </w:rPr>
              <w:t>’</w:t>
            </w:r>
            <w:r>
              <w:rPr>
                <w:rFonts w:ascii="Arial" w:hAnsi="Arial"/>
                <w:color w:val="000000" w:themeColor="text1"/>
                <w:sz w:val="18"/>
              </w:rPr>
              <w:t>eau. Les PRI piloteront la commercialisation de l</w:t>
            </w:r>
            <w:r w:rsidR="00871FB2">
              <w:rPr>
                <w:rFonts w:ascii="Arial" w:hAnsi="Arial"/>
                <w:color w:val="000000" w:themeColor="text1"/>
                <w:sz w:val="18"/>
              </w:rPr>
              <w:t>’</w:t>
            </w:r>
            <w:r>
              <w:rPr>
                <w:rFonts w:ascii="Arial" w:hAnsi="Arial"/>
                <w:color w:val="000000" w:themeColor="text1"/>
                <w:sz w:val="18"/>
              </w:rPr>
              <w:t>eau dans des installations existantes à petite échelle. Deuxièmement, un soutien sera apporté à l</w:t>
            </w:r>
            <w:r w:rsidR="00871FB2">
              <w:rPr>
                <w:rFonts w:ascii="Arial" w:hAnsi="Arial"/>
                <w:color w:val="000000" w:themeColor="text1"/>
                <w:sz w:val="18"/>
              </w:rPr>
              <w:t>’</w:t>
            </w:r>
            <w:r>
              <w:rPr>
                <w:rFonts w:ascii="Arial" w:hAnsi="Arial"/>
                <w:color w:val="000000" w:themeColor="text1"/>
                <w:sz w:val="18"/>
              </w:rPr>
              <w:t>amélioration des systèmes de gouvernance de l</w:t>
            </w:r>
            <w:r w:rsidR="00871FB2">
              <w:rPr>
                <w:rFonts w:ascii="Arial" w:hAnsi="Arial"/>
                <w:color w:val="000000" w:themeColor="text1"/>
                <w:sz w:val="18"/>
              </w:rPr>
              <w:t>’</w:t>
            </w:r>
            <w:r>
              <w:rPr>
                <w:rFonts w:ascii="Arial" w:hAnsi="Arial"/>
                <w:color w:val="000000" w:themeColor="text1"/>
                <w:sz w:val="18"/>
              </w:rPr>
              <w:t>eau pour les sources d</w:t>
            </w:r>
            <w:r w:rsidR="00871FB2">
              <w:rPr>
                <w:rFonts w:ascii="Arial" w:hAnsi="Arial"/>
                <w:color w:val="000000" w:themeColor="text1"/>
                <w:sz w:val="18"/>
              </w:rPr>
              <w:t>’</w:t>
            </w:r>
            <w:r>
              <w:rPr>
                <w:rFonts w:ascii="Arial" w:hAnsi="Arial"/>
                <w:color w:val="000000" w:themeColor="text1"/>
                <w:sz w:val="18"/>
              </w:rPr>
              <w:t>eau existantes, y compris les microbarrages et les trous de sonde, en accordant une attention particulière à l</w:t>
            </w:r>
            <w:r w:rsidR="00871FB2">
              <w:rPr>
                <w:rFonts w:ascii="Arial" w:hAnsi="Arial"/>
                <w:color w:val="000000" w:themeColor="text1"/>
                <w:sz w:val="18"/>
              </w:rPr>
              <w:t>’</w:t>
            </w:r>
            <w:r>
              <w:rPr>
                <w:rFonts w:ascii="Arial" w:hAnsi="Arial"/>
                <w:color w:val="000000" w:themeColor="text1"/>
                <w:sz w:val="18"/>
              </w:rPr>
              <w:t>atténuation des conflits potentiels et des incidences sur l</w:t>
            </w:r>
            <w:r w:rsidR="00871FB2">
              <w:rPr>
                <w:rFonts w:ascii="Arial" w:hAnsi="Arial"/>
                <w:color w:val="000000" w:themeColor="text1"/>
                <w:sz w:val="18"/>
              </w:rPr>
              <w:t>’</w:t>
            </w:r>
            <w:r>
              <w:rPr>
                <w:rFonts w:ascii="Arial" w:hAnsi="Arial"/>
                <w:color w:val="000000" w:themeColor="text1"/>
                <w:sz w:val="18"/>
              </w:rPr>
              <w:t>environnement.</w:t>
            </w:r>
          </w:p>
        </w:tc>
      </w:tr>
      <w:tr w:rsidR="00E2672B" w:rsidRPr="00056B16" w14:paraId="7DF3F706" w14:textId="77777777" w:rsidTr="00A62733">
        <w:trPr>
          <w:cantSplit/>
        </w:trPr>
        <w:tc>
          <w:tcPr>
            <w:tcW w:w="9270" w:type="dxa"/>
          </w:tcPr>
          <w:p w14:paraId="3B57B4AD" w14:textId="78AF7B31" w:rsidR="00E2672B" w:rsidRDefault="00706FD3" w:rsidP="006569B7">
            <w:pPr>
              <w:pStyle w:val="ListParagraph"/>
              <w:numPr>
                <w:ilvl w:val="0"/>
                <w:numId w:val="9"/>
              </w:numPr>
              <w:spacing w:line="240" w:lineRule="auto"/>
              <w:rPr>
                <w:rFonts w:ascii="Arial" w:hAnsi="Arial" w:cs="Arial"/>
                <w:bCs/>
                <w:color w:val="000000" w:themeColor="text1"/>
                <w:sz w:val="18"/>
                <w:szCs w:val="18"/>
                <w:highlight w:val="white"/>
              </w:rPr>
            </w:pPr>
            <w:r>
              <w:rPr>
                <w:rFonts w:ascii="Arial" w:hAnsi="Arial"/>
                <w:color w:val="000000" w:themeColor="text1"/>
                <w:sz w:val="18"/>
                <w:highlight w:val="white"/>
              </w:rPr>
              <w:t>Amélioration de l</w:t>
            </w:r>
            <w:r w:rsidR="00871FB2">
              <w:rPr>
                <w:rFonts w:ascii="Arial" w:hAnsi="Arial"/>
                <w:color w:val="000000" w:themeColor="text1"/>
                <w:sz w:val="18"/>
                <w:highlight w:val="white"/>
              </w:rPr>
              <w:t>’</w:t>
            </w:r>
            <w:r>
              <w:rPr>
                <w:rFonts w:ascii="Arial" w:hAnsi="Arial"/>
                <w:color w:val="000000" w:themeColor="text1"/>
                <w:sz w:val="18"/>
                <w:highlight w:val="white"/>
              </w:rPr>
              <w:t>accès des éleveurs aux services financiers</w:t>
            </w:r>
          </w:p>
          <w:p w14:paraId="36FF5F33" w14:textId="0AA5687A" w:rsidR="00706FD3" w:rsidRPr="00706FD3" w:rsidRDefault="00706FD3" w:rsidP="006569B7">
            <w:pPr>
              <w:spacing w:line="240" w:lineRule="auto"/>
              <w:rPr>
                <w:rFonts w:ascii="Arial" w:hAnsi="Arial" w:cs="Arial"/>
                <w:bCs/>
                <w:color w:val="000000" w:themeColor="text1"/>
                <w:sz w:val="18"/>
                <w:szCs w:val="18"/>
                <w:highlight w:val="white"/>
              </w:rPr>
            </w:pPr>
            <w:r>
              <w:rPr>
                <w:rFonts w:ascii="Arial" w:hAnsi="Arial"/>
                <w:color w:val="000000" w:themeColor="text1"/>
                <w:sz w:val="18"/>
              </w:rPr>
              <w:t>Des produits et services financiers adaptés aux ménages et aux acteurs du marché seront développés pour aider à fournir le capital nécessaire à l</w:t>
            </w:r>
            <w:r w:rsidR="00871FB2">
              <w:rPr>
                <w:rFonts w:ascii="Arial" w:hAnsi="Arial"/>
                <w:color w:val="000000" w:themeColor="text1"/>
                <w:sz w:val="18"/>
              </w:rPr>
              <w:t>’</w:t>
            </w:r>
            <w:r>
              <w:rPr>
                <w:rFonts w:ascii="Arial" w:hAnsi="Arial"/>
                <w:color w:val="000000" w:themeColor="text1"/>
                <w:sz w:val="18"/>
              </w:rPr>
              <w:t>investissement et aux besoins opérationnels quotidiens. Les PRI étudieront le rapport coût-bénéfice de la prise en charge par le gouvernement des primes d</w:t>
            </w:r>
            <w:r w:rsidR="00871FB2">
              <w:rPr>
                <w:rFonts w:ascii="Arial" w:hAnsi="Arial"/>
                <w:color w:val="000000" w:themeColor="text1"/>
                <w:sz w:val="18"/>
              </w:rPr>
              <w:t>’</w:t>
            </w:r>
            <w:r>
              <w:rPr>
                <w:rFonts w:ascii="Arial" w:hAnsi="Arial"/>
                <w:color w:val="000000" w:themeColor="text1"/>
                <w:sz w:val="18"/>
              </w:rPr>
              <w:t>assurance pour les éleveurs, ainsi que la manière dont les régimes d</w:t>
            </w:r>
            <w:r w:rsidR="00871FB2">
              <w:rPr>
                <w:rFonts w:ascii="Arial" w:hAnsi="Arial"/>
                <w:color w:val="000000" w:themeColor="text1"/>
                <w:sz w:val="18"/>
              </w:rPr>
              <w:t>’</w:t>
            </w:r>
            <w:r>
              <w:rPr>
                <w:rFonts w:ascii="Arial" w:hAnsi="Arial"/>
                <w:color w:val="000000" w:themeColor="text1"/>
                <w:sz w:val="18"/>
              </w:rPr>
              <w:t>assurance peuvent se superposer aux assurances traditionnelles.</w:t>
            </w:r>
          </w:p>
        </w:tc>
      </w:tr>
      <w:bookmarkEnd w:id="0"/>
    </w:tbl>
    <w:p w14:paraId="7212D1AA" w14:textId="77777777" w:rsidR="00933617" w:rsidRPr="00056B16" w:rsidRDefault="00933617" w:rsidP="006569B7">
      <w:pPr>
        <w:spacing w:after="0" w:line="240" w:lineRule="auto"/>
        <w:ind w:left="360"/>
        <w:jc w:val="both"/>
        <w:rPr>
          <w:rFonts w:ascii="Arial" w:hAnsi="Arial" w:cs="Arial"/>
        </w:rPr>
      </w:pPr>
    </w:p>
    <w:p w14:paraId="2EA96D43" w14:textId="56308C9D" w:rsidR="00A529F8" w:rsidRPr="00056B16" w:rsidRDefault="00A529F8" w:rsidP="006569B7">
      <w:pPr>
        <w:spacing w:after="0" w:line="240" w:lineRule="auto"/>
        <w:ind w:left="360" w:hanging="360"/>
        <w:jc w:val="both"/>
        <w:rPr>
          <w:rFonts w:ascii="Arial" w:hAnsi="Arial" w:cs="Arial"/>
          <w:b/>
          <w:color w:val="666666"/>
        </w:rPr>
      </w:pPr>
      <w:r>
        <w:rPr>
          <w:rFonts w:ascii="Arial" w:hAnsi="Arial"/>
          <w:b/>
          <w:color w:val="666666"/>
        </w:rPr>
        <w:t xml:space="preserve">2) </w:t>
      </w:r>
      <w:r>
        <w:rPr>
          <w:rFonts w:ascii="Arial" w:hAnsi="Arial"/>
          <w:b/>
          <w:color w:val="666666"/>
        </w:rPr>
        <w:tab/>
        <w:t>But et objectifs de l</w:t>
      </w:r>
      <w:r w:rsidR="00871FB2">
        <w:rPr>
          <w:rFonts w:ascii="Arial" w:hAnsi="Arial"/>
          <w:b/>
          <w:color w:val="666666"/>
        </w:rPr>
        <w:t>’</w:t>
      </w:r>
      <w:r>
        <w:rPr>
          <w:rFonts w:ascii="Arial" w:hAnsi="Arial"/>
          <w:b/>
          <w:color w:val="666666"/>
        </w:rPr>
        <w:t>évaluation d</w:t>
      </w:r>
      <w:r w:rsidR="00871FB2">
        <w:rPr>
          <w:rFonts w:ascii="Arial" w:hAnsi="Arial"/>
          <w:b/>
          <w:color w:val="666666"/>
        </w:rPr>
        <w:t>’</w:t>
      </w:r>
      <w:r>
        <w:rPr>
          <w:rFonts w:ascii="Arial" w:hAnsi="Arial"/>
          <w:b/>
          <w:color w:val="666666"/>
        </w:rPr>
        <w:t>impact</w:t>
      </w:r>
    </w:p>
    <w:p w14:paraId="32369D61" w14:textId="77777777" w:rsidR="008F6229" w:rsidRPr="00056B16" w:rsidRDefault="008F6229" w:rsidP="006569B7">
      <w:pPr>
        <w:spacing w:after="0" w:line="240" w:lineRule="auto"/>
        <w:ind w:left="360" w:hanging="360"/>
        <w:jc w:val="both"/>
        <w:rPr>
          <w:rFonts w:ascii="Arial" w:hAnsi="Arial" w:cs="Arial"/>
          <w:b/>
          <w:color w:val="666666"/>
        </w:rPr>
      </w:pPr>
    </w:p>
    <w:p w14:paraId="7F8A522A" w14:textId="5C13730A" w:rsidR="00D33256" w:rsidRDefault="008F6229" w:rsidP="006569B7">
      <w:pPr>
        <w:widowControl w:val="0"/>
        <w:spacing w:line="240" w:lineRule="auto"/>
        <w:jc w:val="both"/>
        <w:rPr>
          <w:rFonts w:ascii="Arial" w:hAnsi="Arial" w:cs="Arial"/>
        </w:rPr>
      </w:pPr>
      <w:bookmarkStart w:id="1" w:name="_heading=h.gjdgxs"/>
      <w:bookmarkEnd w:id="1"/>
      <w:r>
        <w:rPr>
          <w:rFonts w:ascii="Arial" w:hAnsi="Arial"/>
        </w:rPr>
        <w:t>L</w:t>
      </w:r>
      <w:r w:rsidR="00871FB2">
        <w:rPr>
          <w:rFonts w:ascii="Arial" w:hAnsi="Arial"/>
        </w:rPr>
        <w:t>’</w:t>
      </w:r>
      <w:r>
        <w:rPr>
          <w:rFonts w:ascii="Arial" w:hAnsi="Arial"/>
        </w:rPr>
        <w:t>objectif de cette évaluation d</w:t>
      </w:r>
      <w:r w:rsidR="00871FB2">
        <w:rPr>
          <w:rFonts w:ascii="Arial" w:hAnsi="Arial"/>
        </w:rPr>
        <w:t>’</w:t>
      </w:r>
      <w:r>
        <w:rPr>
          <w:rFonts w:ascii="Arial" w:hAnsi="Arial"/>
        </w:rPr>
        <w:t>impact est d</w:t>
      </w:r>
      <w:r w:rsidR="00871FB2">
        <w:rPr>
          <w:rFonts w:ascii="Arial" w:hAnsi="Arial"/>
        </w:rPr>
        <w:t>’</w:t>
      </w:r>
      <w:r>
        <w:rPr>
          <w:rFonts w:ascii="Arial" w:hAnsi="Arial"/>
        </w:rPr>
        <w:t>évaluer l</w:t>
      </w:r>
      <w:r w:rsidR="00871FB2">
        <w:rPr>
          <w:rFonts w:ascii="Arial" w:hAnsi="Arial"/>
        </w:rPr>
        <w:t>’</w:t>
      </w:r>
      <w:r>
        <w:rPr>
          <w:rFonts w:ascii="Arial" w:hAnsi="Arial"/>
        </w:rPr>
        <w:t>efficacité des interventions des PRI sur l</w:t>
      </w:r>
      <w:r w:rsidR="00871FB2">
        <w:rPr>
          <w:rFonts w:ascii="Arial" w:hAnsi="Arial"/>
        </w:rPr>
        <w:t>’</w:t>
      </w:r>
      <w:r>
        <w:rPr>
          <w:rFonts w:ascii="Arial" w:hAnsi="Arial"/>
        </w:rPr>
        <w:t>amélioration de la résilience et le développement socio-économique des ménages et des communautés pastorales. Mercy Corps recherche un partenaire d</w:t>
      </w:r>
      <w:r w:rsidR="00871FB2">
        <w:rPr>
          <w:rFonts w:ascii="Arial" w:hAnsi="Arial"/>
        </w:rPr>
        <w:t>’</w:t>
      </w:r>
      <w:r>
        <w:rPr>
          <w:rFonts w:ascii="Arial" w:hAnsi="Arial"/>
        </w:rPr>
        <w:t>évaluation capable de concevoir et de mettre en œuvre une évaluation d</w:t>
      </w:r>
      <w:r w:rsidR="00871FB2">
        <w:rPr>
          <w:rFonts w:ascii="Arial" w:hAnsi="Arial"/>
        </w:rPr>
        <w:t>’</w:t>
      </w:r>
      <w:r>
        <w:rPr>
          <w:rFonts w:ascii="Arial" w:hAnsi="Arial"/>
        </w:rPr>
        <w:t>impact solide. La conception de l</w:t>
      </w:r>
      <w:r w:rsidR="00871FB2">
        <w:rPr>
          <w:rFonts w:ascii="Arial" w:hAnsi="Arial"/>
        </w:rPr>
        <w:t>’</w:t>
      </w:r>
      <w:r>
        <w:rPr>
          <w:rFonts w:ascii="Arial" w:hAnsi="Arial"/>
        </w:rPr>
        <w:t>évaluation d</w:t>
      </w:r>
      <w:r w:rsidR="00871FB2">
        <w:rPr>
          <w:rFonts w:ascii="Arial" w:hAnsi="Arial"/>
        </w:rPr>
        <w:t>’</w:t>
      </w:r>
      <w:r>
        <w:rPr>
          <w:rFonts w:ascii="Arial" w:hAnsi="Arial"/>
        </w:rPr>
        <w:t>impact sera finalisée au cours d</w:t>
      </w:r>
      <w:r w:rsidR="00871FB2">
        <w:rPr>
          <w:rFonts w:ascii="Arial" w:hAnsi="Arial"/>
        </w:rPr>
        <w:t>’</w:t>
      </w:r>
      <w:r>
        <w:rPr>
          <w:rFonts w:ascii="Arial" w:hAnsi="Arial"/>
        </w:rPr>
        <w:t xml:space="preserve">une phase de démarrage de trois mois (octobre-décembre 2023) et la base de référence pour les PRI sera réalisée à partir de janvier 2024. Au cours de la phase de démarrage, un plan de mise en œuvre détaillé sera élaboré en collaboration avec le(s) évaluateur(s) sélectionné(s). </w:t>
      </w:r>
    </w:p>
    <w:p w14:paraId="38D72159" w14:textId="7251A44E" w:rsidR="00C13215" w:rsidRDefault="00D33256" w:rsidP="006569B7">
      <w:pPr>
        <w:widowControl w:val="0"/>
        <w:spacing w:line="240" w:lineRule="auto"/>
        <w:jc w:val="both"/>
        <w:rPr>
          <w:rFonts w:ascii="Arial" w:hAnsi="Arial" w:cs="Arial"/>
        </w:rPr>
      </w:pPr>
      <w:r>
        <w:rPr>
          <w:rFonts w:ascii="Arial" w:hAnsi="Arial"/>
        </w:rPr>
        <w:t>Les candidats retenus doivent soumettre un projet de méthodologie d</w:t>
      </w:r>
      <w:r w:rsidR="00871FB2">
        <w:rPr>
          <w:rFonts w:ascii="Arial" w:hAnsi="Arial"/>
        </w:rPr>
        <w:t>’</w:t>
      </w:r>
      <w:r>
        <w:rPr>
          <w:rFonts w:ascii="Arial" w:hAnsi="Arial"/>
        </w:rPr>
        <w:t>évaluation d</w:t>
      </w:r>
      <w:r w:rsidR="00871FB2">
        <w:rPr>
          <w:rFonts w:ascii="Arial" w:hAnsi="Arial"/>
        </w:rPr>
        <w:t>’</w:t>
      </w:r>
      <w:r>
        <w:rPr>
          <w:rFonts w:ascii="Arial" w:hAnsi="Arial"/>
        </w:rPr>
        <w:t>impact, ainsi que le processus par lequel ils affineront l</w:t>
      </w:r>
      <w:r w:rsidR="00871FB2">
        <w:rPr>
          <w:rFonts w:ascii="Arial" w:hAnsi="Arial"/>
        </w:rPr>
        <w:t>’</w:t>
      </w:r>
      <w:r>
        <w:rPr>
          <w:rFonts w:ascii="Arial" w:hAnsi="Arial"/>
        </w:rPr>
        <w:t>approche d</w:t>
      </w:r>
      <w:r w:rsidR="00871FB2">
        <w:rPr>
          <w:rFonts w:ascii="Arial" w:hAnsi="Arial"/>
        </w:rPr>
        <w:t>’</w:t>
      </w:r>
      <w:r>
        <w:rPr>
          <w:rFonts w:ascii="Arial" w:hAnsi="Arial"/>
        </w:rPr>
        <w:t>évaluation, et les informations et décisions clés nécessaires pour finaliser la conception de l</w:t>
      </w:r>
      <w:r w:rsidR="00871FB2">
        <w:rPr>
          <w:rFonts w:ascii="Arial" w:hAnsi="Arial"/>
        </w:rPr>
        <w:t>’</w:t>
      </w:r>
      <w:r>
        <w:rPr>
          <w:rFonts w:ascii="Arial" w:hAnsi="Arial"/>
        </w:rPr>
        <w:t>évaluation d</w:t>
      </w:r>
      <w:r w:rsidR="00871FB2">
        <w:rPr>
          <w:rFonts w:ascii="Arial" w:hAnsi="Arial"/>
        </w:rPr>
        <w:t>’</w:t>
      </w:r>
      <w:r>
        <w:rPr>
          <w:rFonts w:ascii="Arial" w:hAnsi="Arial"/>
        </w:rPr>
        <w:t xml:space="preserve">impact. </w:t>
      </w:r>
    </w:p>
    <w:p w14:paraId="622A97BD" w14:textId="2FA6694D" w:rsidR="006569B7" w:rsidRDefault="00B90C55" w:rsidP="006569B7">
      <w:pPr>
        <w:widowControl w:val="0"/>
        <w:spacing w:line="240" w:lineRule="auto"/>
        <w:jc w:val="both"/>
        <w:rPr>
          <w:rFonts w:ascii="Arial" w:hAnsi="Arial"/>
        </w:rPr>
      </w:pPr>
      <w:r>
        <w:rPr>
          <w:rFonts w:ascii="Arial" w:hAnsi="Arial"/>
        </w:rPr>
        <w:t>Les objectifs spécifiques de l</w:t>
      </w:r>
      <w:r w:rsidR="00871FB2">
        <w:rPr>
          <w:rFonts w:ascii="Arial" w:hAnsi="Arial"/>
        </w:rPr>
        <w:t>’</w:t>
      </w:r>
      <w:r>
        <w:rPr>
          <w:rFonts w:ascii="Arial" w:hAnsi="Arial"/>
        </w:rPr>
        <w:t>évaluation d</w:t>
      </w:r>
      <w:r w:rsidR="00871FB2">
        <w:rPr>
          <w:rFonts w:ascii="Arial" w:hAnsi="Arial"/>
        </w:rPr>
        <w:t>’</w:t>
      </w:r>
      <w:r>
        <w:rPr>
          <w:rFonts w:ascii="Arial" w:hAnsi="Arial"/>
        </w:rPr>
        <w:t>impact sont les suivants</w:t>
      </w:r>
      <w:r w:rsidR="00871FB2">
        <w:rPr>
          <w:rFonts w:ascii="Arial" w:hAnsi="Arial"/>
        </w:rPr>
        <w:t> </w:t>
      </w:r>
      <w:r>
        <w:rPr>
          <w:rFonts w:ascii="Arial" w:hAnsi="Arial"/>
        </w:rPr>
        <w:t>:</w:t>
      </w:r>
    </w:p>
    <w:p w14:paraId="1E2285E4" w14:textId="77777777" w:rsidR="006569B7" w:rsidRDefault="006569B7">
      <w:pPr>
        <w:spacing w:after="160" w:line="259" w:lineRule="auto"/>
        <w:rPr>
          <w:rFonts w:ascii="Arial" w:hAnsi="Arial"/>
        </w:rPr>
      </w:pPr>
      <w:r>
        <w:rPr>
          <w:rFonts w:ascii="Arial" w:hAnsi="Arial"/>
        </w:rPr>
        <w:br w:type="page"/>
      </w:r>
    </w:p>
    <w:p w14:paraId="48D56EDC" w14:textId="3EF71638" w:rsidR="00134F56" w:rsidRDefault="00134F56" w:rsidP="006569B7">
      <w:pPr>
        <w:pStyle w:val="ListParagraph"/>
        <w:widowControl w:val="0"/>
        <w:numPr>
          <w:ilvl w:val="0"/>
          <w:numId w:val="14"/>
        </w:numPr>
        <w:spacing w:line="240" w:lineRule="auto"/>
        <w:jc w:val="both"/>
        <w:rPr>
          <w:rFonts w:ascii="Arial" w:hAnsi="Arial" w:cs="Arial"/>
        </w:rPr>
      </w:pPr>
      <w:r>
        <w:rPr>
          <w:rFonts w:ascii="Arial" w:hAnsi="Arial"/>
        </w:rPr>
        <w:lastRenderedPageBreak/>
        <w:t>Évaluer rigoureusement l</w:t>
      </w:r>
      <w:r w:rsidR="00871FB2">
        <w:rPr>
          <w:rFonts w:ascii="Arial" w:hAnsi="Arial"/>
        </w:rPr>
        <w:t>’</w:t>
      </w:r>
      <w:r>
        <w:rPr>
          <w:rFonts w:ascii="Arial" w:hAnsi="Arial"/>
        </w:rPr>
        <w:t>impact combiné des activités des PRI afin d</w:t>
      </w:r>
      <w:r w:rsidR="00871FB2">
        <w:rPr>
          <w:rFonts w:ascii="Arial" w:hAnsi="Arial"/>
        </w:rPr>
        <w:t>’</w:t>
      </w:r>
      <w:r>
        <w:rPr>
          <w:rFonts w:ascii="Arial" w:hAnsi="Arial"/>
        </w:rPr>
        <w:t>attribuer aux interventions des PRI des changements dans les principaux indicateurs de résultats, sur la base d</w:t>
      </w:r>
      <w:r w:rsidR="00871FB2">
        <w:rPr>
          <w:rFonts w:ascii="Arial" w:hAnsi="Arial"/>
        </w:rPr>
        <w:t>’</w:t>
      </w:r>
      <w:r>
        <w:rPr>
          <w:rFonts w:ascii="Arial" w:hAnsi="Arial"/>
        </w:rPr>
        <w:t>un groupe de comparaison, au moyen d</w:t>
      </w:r>
      <w:r w:rsidR="00871FB2">
        <w:rPr>
          <w:rFonts w:ascii="Arial" w:hAnsi="Arial"/>
        </w:rPr>
        <w:t>’</w:t>
      </w:r>
      <w:r>
        <w:rPr>
          <w:rFonts w:ascii="Arial" w:hAnsi="Arial"/>
        </w:rPr>
        <w:t>une évaluation expérimentale ou quasi-expérimentale de l</w:t>
      </w:r>
      <w:r w:rsidR="00871FB2">
        <w:rPr>
          <w:rFonts w:ascii="Arial" w:hAnsi="Arial"/>
        </w:rPr>
        <w:t>’</w:t>
      </w:r>
      <w:r>
        <w:rPr>
          <w:rFonts w:ascii="Arial" w:hAnsi="Arial"/>
        </w:rPr>
        <w:t>impact.</w:t>
      </w:r>
    </w:p>
    <w:p w14:paraId="2C2178E5" w14:textId="793D8631" w:rsidR="00134F56" w:rsidRDefault="00134F56" w:rsidP="006569B7">
      <w:pPr>
        <w:pStyle w:val="ListParagraph"/>
        <w:widowControl w:val="0"/>
        <w:numPr>
          <w:ilvl w:val="0"/>
          <w:numId w:val="14"/>
        </w:numPr>
        <w:spacing w:line="240" w:lineRule="auto"/>
        <w:jc w:val="both"/>
        <w:rPr>
          <w:rFonts w:ascii="Arial" w:hAnsi="Arial" w:cs="Arial"/>
        </w:rPr>
      </w:pPr>
      <w:r>
        <w:rPr>
          <w:rFonts w:ascii="Arial" w:hAnsi="Arial"/>
        </w:rPr>
        <w:t>Tester l</w:t>
      </w:r>
      <w:r w:rsidR="00871FB2">
        <w:rPr>
          <w:rFonts w:ascii="Arial" w:hAnsi="Arial"/>
        </w:rPr>
        <w:t>’</w:t>
      </w:r>
      <w:r>
        <w:rPr>
          <w:rFonts w:ascii="Arial" w:hAnsi="Arial"/>
        </w:rPr>
        <w:t>efficacité relative de combinaisons spécifiques d</w:t>
      </w:r>
      <w:r w:rsidR="00871FB2">
        <w:rPr>
          <w:rFonts w:ascii="Arial" w:hAnsi="Arial"/>
        </w:rPr>
        <w:t>’</w:t>
      </w:r>
      <w:r>
        <w:rPr>
          <w:rFonts w:ascii="Arial" w:hAnsi="Arial"/>
        </w:rPr>
        <w:t>activités afin de déterminer si l</w:t>
      </w:r>
      <w:r w:rsidR="00871FB2">
        <w:rPr>
          <w:rFonts w:ascii="Arial" w:hAnsi="Arial"/>
        </w:rPr>
        <w:t>’</w:t>
      </w:r>
      <w:r>
        <w:rPr>
          <w:rFonts w:ascii="Arial" w:hAnsi="Arial"/>
        </w:rPr>
        <w:t>efficacité ou l</w:t>
      </w:r>
      <w:r w:rsidR="00871FB2">
        <w:rPr>
          <w:rFonts w:ascii="Arial" w:hAnsi="Arial"/>
        </w:rPr>
        <w:t>’</w:t>
      </w:r>
      <w:r>
        <w:rPr>
          <w:rFonts w:ascii="Arial" w:hAnsi="Arial"/>
        </w:rPr>
        <w:t>efficience des activités combinées s</w:t>
      </w:r>
      <w:r w:rsidR="00871FB2">
        <w:rPr>
          <w:rFonts w:ascii="Arial" w:hAnsi="Arial"/>
        </w:rPr>
        <w:t>’</w:t>
      </w:r>
      <w:r>
        <w:rPr>
          <w:rFonts w:ascii="Arial" w:hAnsi="Arial"/>
        </w:rPr>
        <w:t xml:space="preserve">accroît. </w:t>
      </w:r>
    </w:p>
    <w:p w14:paraId="0BE9DF15" w14:textId="2A62FF7D" w:rsidR="00F96C21" w:rsidRPr="00B943ED" w:rsidRDefault="00134F56" w:rsidP="006569B7">
      <w:pPr>
        <w:pStyle w:val="ListParagraph"/>
        <w:widowControl w:val="0"/>
        <w:numPr>
          <w:ilvl w:val="0"/>
          <w:numId w:val="14"/>
        </w:numPr>
        <w:spacing w:line="240" w:lineRule="auto"/>
        <w:jc w:val="both"/>
        <w:rPr>
          <w:rFonts w:ascii="Arial" w:hAnsi="Arial" w:cs="Arial"/>
        </w:rPr>
      </w:pPr>
      <w:r>
        <w:rPr>
          <w:rFonts w:ascii="Arial" w:hAnsi="Arial"/>
        </w:rPr>
        <w:t>Déterminer si certains groupes bénéficient d</w:t>
      </w:r>
      <w:r w:rsidR="00871FB2">
        <w:rPr>
          <w:rFonts w:ascii="Arial" w:hAnsi="Arial"/>
        </w:rPr>
        <w:t>’</w:t>
      </w:r>
      <w:r>
        <w:rPr>
          <w:rFonts w:ascii="Arial" w:hAnsi="Arial"/>
        </w:rPr>
        <w:t>avantages différenciés par rapport à d</w:t>
      </w:r>
      <w:r w:rsidR="00871FB2">
        <w:rPr>
          <w:rFonts w:ascii="Arial" w:hAnsi="Arial"/>
        </w:rPr>
        <w:t>’</w:t>
      </w:r>
      <w:r>
        <w:rPr>
          <w:rFonts w:ascii="Arial" w:hAnsi="Arial"/>
        </w:rPr>
        <w:t xml:space="preserve">autres groupes </w:t>
      </w:r>
      <w:r w:rsidR="00871FB2">
        <w:rPr>
          <w:rFonts w:ascii="Arial" w:hAnsi="Arial"/>
        </w:rPr>
        <w:t>—</w:t>
      </w:r>
      <w:r>
        <w:rPr>
          <w:rFonts w:ascii="Arial" w:hAnsi="Arial"/>
        </w:rPr>
        <w:t xml:space="preserve"> par exemple, les interventions des PRI ont-elles un impact similaire sur les différents types de ménages, les groupes marginalisés, les ménages dirigés par des femmes, etc. </w:t>
      </w:r>
    </w:p>
    <w:tbl>
      <w:tblPr>
        <w:tblStyle w:val="TableGrid"/>
        <w:tblW w:w="9270" w:type="dxa"/>
        <w:tblLook w:val="04A0" w:firstRow="1" w:lastRow="0" w:firstColumn="1" w:lastColumn="0" w:noHBand="0" w:noVBand="1"/>
      </w:tblPr>
      <w:tblGrid>
        <w:gridCol w:w="9270"/>
      </w:tblGrid>
      <w:tr w:rsidR="00B753FE" w:rsidRPr="00056B16" w14:paraId="40CB7212" w14:textId="77777777" w:rsidTr="006C7DCD">
        <w:tc>
          <w:tcPr>
            <w:tcW w:w="9270" w:type="dxa"/>
            <w:tcBorders>
              <w:top w:val="nil"/>
              <w:left w:val="nil"/>
              <w:bottom w:val="single" w:sz="4" w:space="0" w:color="auto"/>
              <w:right w:val="nil"/>
            </w:tcBorders>
            <w:shd w:val="clear" w:color="auto" w:fill="F4B083" w:themeFill="accent2" w:themeFillTint="99"/>
            <w:vAlign w:val="center"/>
          </w:tcPr>
          <w:p w14:paraId="51F861C4" w14:textId="448E0237" w:rsidR="00B753FE" w:rsidRPr="00056B16" w:rsidRDefault="005C31DD" w:rsidP="006569B7">
            <w:pPr>
              <w:pStyle w:val="NormalWeb"/>
              <w:spacing w:before="0" w:beforeAutospacing="0" w:after="160" w:afterAutospacing="0"/>
              <w:jc w:val="both"/>
              <w:rPr>
                <w:rFonts w:ascii="Arial" w:hAnsi="Arial" w:cs="Arial"/>
                <w:color w:val="000000"/>
                <w:sz w:val="22"/>
                <w:szCs w:val="22"/>
              </w:rPr>
            </w:pPr>
            <w:r>
              <w:rPr>
                <w:rFonts w:ascii="Arial" w:hAnsi="Arial"/>
                <w:b/>
                <w:sz w:val="22"/>
              </w:rPr>
              <w:t>Indicateurs de résultats clés du PRP présentant un intérêt pour l</w:t>
            </w:r>
            <w:r w:rsidR="00871FB2">
              <w:rPr>
                <w:rFonts w:ascii="Arial" w:hAnsi="Arial"/>
                <w:b/>
                <w:sz w:val="22"/>
              </w:rPr>
              <w:t>’</w:t>
            </w:r>
            <w:r>
              <w:rPr>
                <w:rFonts w:ascii="Arial" w:hAnsi="Arial"/>
                <w:b/>
                <w:sz w:val="22"/>
              </w:rPr>
              <w:t>évaluation d</w:t>
            </w:r>
            <w:r w:rsidR="00871FB2">
              <w:rPr>
                <w:rFonts w:ascii="Arial" w:hAnsi="Arial"/>
                <w:b/>
                <w:sz w:val="22"/>
              </w:rPr>
              <w:t>’</w:t>
            </w:r>
            <w:r>
              <w:rPr>
                <w:rFonts w:ascii="Arial" w:hAnsi="Arial"/>
                <w:b/>
                <w:sz w:val="22"/>
              </w:rPr>
              <w:t>impact</w:t>
            </w:r>
          </w:p>
        </w:tc>
      </w:tr>
      <w:tr w:rsidR="00B753FE" w:rsidRPr="00056B16" w14:paraId="605B6E4E"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4B4B2807" w14:textId="16F7D438" w:rsidR="007705C5" w:rsidRPr="007705C5" w:rsidRDefault="007705C5" w:rsidP="006569B7">
            <w:pPr>
              <w:spacing w:after="0" w:line="240" w:lineRule="auto"/>
              <w:jc w:val="both"/>
              <w:rPr>
                <w:rFonts w:ascii="Arial" w:hAnsi="Arial" w:cs="Arial"/>
              </w:rPr>
            </w:pPr>
            <w:r>
              <w:rPr>
                <w:rFonts w:ascii="Arial" w:hAnsi="Arial"/>
              </w:rPr>
              <w:t>Indicateurs d</w:t>
            </w:r>
            <w:r w:rsidR="00871FB2">
              <w:rPr>
                <w:rFonts w:ascii="Arial" w:hAnsi="Arial"/>
              </w:rPr>
              <w:t>’</w:t>
            </w:r>
            <w:r>
              <w:rPr>
                <w:rFonts w:ascii="Arial" w:hAnsi="Arial"/>
              </w:rPr>
              <w:t>impact</w:t>
            </w:r>
          </w:p>
          <w:p w14:paraId="2CC62362" w14:textId="77777777" w:rsidR="00F17015" w:rsidRDefault="00F17015" w:rsidP="006569B7">
            <w:pPr>
              <w:pStyle w:val="ListParagraph"/>
              <w:numPr>
                <w:ilvl w:val="0"/>
                <w:numId w:val="12"/>
              </w:numPr>
              <w:spacing w:after="0" w:line="240" w:lineRule="auto"/>
              <w:jc w:val="both"/>
              <w:rPr>
                <w:rFonts w:ascii="Arial" w:hAnsi="Arial" w:cs="Arial"/>
              </w:rPr>
            </w:pPr>
            <w:r>
              <w:rPr>
                <w:rFonts w:ascii="Arial" w:hAnsi="Arial"/>
              </w:rPr>
              <w:t>Sécurité alimentaire des ménages</w:t>
            </w:r>
          </w:p>
          <w:p w14:paraId="2E13D5F1" w14:textId="14F8E592" w:rsidR="007705C5" w:rsidRDefault="007705C5" w:rsidP="006569B7">
            <w:pPr>
              <w:pStyle w:val="ListParagraph"/>
              <w:numPr>
                <w:ilvl w:val="0"/>
                <w:numId w:val="12"/>
              </w:numPr>
              <w:spacing w:after="0" w:line="240" w:lineRule="auto"/>
              <w:jc w:val="both"/>
              <w:rPr>
                <w:rFonts w:ascii="Arial" w:hAnsi="Arial" w:cs="Arial"/>
              </w:rPr>
            </w:pPr>
            <w:r>
              <w:rPr>
                <w:rFonts w:ascii="Arial" w:hAnsi="Arial"/>
              </w:rPr>
              <w:t>Revenu total du ménage</w:t>
            </w:r>
          </w:p>
          <w:p w14:paraId="68092057" w14:textId="3C9532D3" w:rsidR="00B753FE" w:rsidRDefault="007705C5" w:rsidP="006569B7">
            <w:pPr>
              <w:pStyle w:val="ListParagraph"/>
              <w:numPr>
                <w:ilvl w:val="0"/>
                <w:numId w:val="12"/>
              </w:numPr>
              <w:spacing w:after="0" w:line="240" w:lineRule="auto"/>
              <w:jc w:val="both"/>
              <w:rPr>
                <w:rFonts w:ascii="Arial" w:hAnsi="Arial" w:cs="Arial"/>
              </w:rPr>
            </w:pPr>
            <w:r>
              <w:rPr>
                <w:rFonts w:ascii="Arial" w:hAnsi="Arial"/>
              </w:rPr>
              <w:t>Revenu des ménages provenant de l</w:t>
            </w:r>
            <w:r w:rsidR="00871FB2">
              <w:rPr>
                <w:rFonts w:ascii="Arial" w:hAnsi="Arial"/>
              </w:rPr>
              <w:t>’</w:t>
            </w:r>
            <w:r>
              <w:rPr>
                <w:rFonts w:ascii="Arial" w:hAnsi="Arial"/>
              </w:rPr>
              <w:t>élevage</w:t>
            </w:r>
          </w:p>
          <w:p w14:paraId="57E3FC85" w14:textId="42CB9142" w:rsidR="007705C5" w:rsidRPr="007705C5" w:rsidRDefault="007705C5" w:rsidP="006569B7">
            <w:pPr>
              <w:pStyle w:val="ListParagraph"/>
              <w:numPr>
                <w:ilvl w:val="0"/>
                <w:numId w:val="12"/>
              </w:numPr>
              <w:spacing w:after="0" w:line="240" w:lineRule="auto"/>
              <w:jc w:val="both"/>
              <w:rPr>
                <w:rFonts w:ascii="Arial" w:hAnsi="Arial" w:cs="Arial"/>
              </w:rPr>
            </w:pPr>
            <w:r>
              <w:rPr>
                <w:rFonts w:ascii="Arial" w:hAnsi="Arial"/>
              </w:rPr>
              <w:t>Capacité des ménages à réagir aux chocs et à s</w:t>
            </w:r>
            <w:r w:rsidR="00871FB2">
              <w:rPr>
                <w:rFonts w:ascii="Arial" w:hAnsi="Arial"/>
              </w:rPr>
              <w:t>’</w:t>
            </w:r>
            <w:r>
              <w:rPr>
                <w:rFonts w:ascii="Arial" w:hAnsi="Arial"/>
              </w:rPr>
              <w:t>en remettre</w:t>
            </w:r>
          </w:p>
        </w:tc>
      </w:tr>
      <w:tr w:rsidR="00B753FE" w:rsidRPr="00056B16" w14:paraId="2D30B622" w14:textId="77777777" w:rsidTr="006C7DCD">
        <w:trPr>
          <w:trHeight w:val="144"/>
        </w:trPr>
        <w:tc>
          <w:tcPr>
            <w:tcW w:w="9270" w:type="dxa"/>
            <w:tcBorders>
              <w:top w:val="single" w:sz="4" w:space="0" w:color="auto"/>
              <w:left w:val="nil"/>
              <w:bottom w:val="single" w:sz="4" w:space="0" w:color="auto"/>
              <w:right w:val="nil"/>
            </w:tcBorders>
            <w:shd w:val="clear" w:color="auto" w:fill="auto"/>
            <w:vAlign w:val="center"/>
          </w:tcPr>
          <w:p w14:paraId="78A5B0A1" w14:textId="77777777" w:rsidR="00B753FE" w:rsidRDefault="007705C5" w:rsidP="006569B7">
            <w:pPr>
              <w:widowControl w:val="0"/>
              <w:spacing w:after="0" w:line="240" w:lineRule="auto"/>
              <w:jc w:val="both"/>
              <w:rPr>
                <w:rFonts w:ascii="Arial" w:hAnsi="Arial" w:cs="Arial"/>
              </w:rPr>
            </w:pPr>
            <w:r>
              <w:rPr>
                <w:rFonts w:ascii="Arial" w:hAnsi="Arial"/>
              </w:rPr>
              <w:t>Indicateurs de résultats intermédiaires</w:t>
            </w:r>
          </w:p>
          <w:p w14:paraId="0D8F19C7" w14:textId="3D6D04F4" w:rsidR="007705C5" w:rsidRDefault="007705C5" w:rsidP="006569B7">
            <w:pPr>
              <w:pStyle w:val="ListParagraph"/>
              <w:widowControl w:val="0"/>
              <w:numPr>
                <w:ilvl w:val="0"/>
                <w:numId w:val="13"/>
              </w:numPr>
              <w:spacing w:after="0" w:line="240" w:lineRule="auto"/>
              <w:jc w:val="both"/>
              <w:rPr>
                <w:rFonts w:ascii="Arial" w:hAnsi="Arial" w:cs="Arial"/>
              </w:rPr>
            </w:pPr>
            <w:r>
              <w:rPr>
                <w:rFonts w:ascii="Arial" w:hAnsi="Arial"/>
              </w:rPr>
              <w:t>Pourcentage de ménages conscients de l</w:t>
            </w:r>
            <w:r w:rsidR="00871FB2">
              <w:rPr>
                <w:rFonts w:ascii="Arial" w:hAnsi="Arial"/>
              </w:rPr>
              <w:t>’</w:t>
            </w:r>
            <w:r>
              <w:rPr>
                <w:rFonts w:ascii="Arial" w:hAnsi="Arial"/>
              </w:rPr>
              <w:t>existence d</w:t>
            </w:r>
            <w:r w:rsidR="00871FB2">
              <w:rPr>
                <w:rFonts w:ascii="Arial" w:hAnsi="Arial"/>
              </w:rPr>
              <w:t>’</w:t>
            </w:r>
            <w:r>
              <w:rPr>
                <w:rFonts w:ascii="Arial" w:hAnsi="Arial"/>
              </w:rPr>
              <w:t>un mécanisme de gestion des risques au niveau communautaire</w:t>
            </w:r>
          </w:p>
          <w:p w14:paraId="16233313" w14:textId="77777777" w:rsidR="007705C5" w:rsidRDefault="007705C5" w:rsidP="006569B7">
            <w:pPr>
              <w:pStyle w:val="ListParagraph"/>
              <w:widowControl w:val="0"/>
              <w:numPr>
                <w:ilvl w:val="0"/>
                <w:numId w:val="13"/>
              </w:numPr>
              <w:spacing w:after="0" w:line="240" w:lineRule="auto"/>
              <w:jc w:val="both"/>
              <w:rPr>
                <w:rFonts w:ascii="Arial" w:hAnsi="Arial" w:cs="Arial"/>
              </w:rPr>
            </w:pPr>
            <w:r>
              <w:rPr>
                <w:rFonts w:ascii="Arial" w:hAnsi="Arial"/>
              </w:rPr>
              <w:t>Production animale</w:t>
            </w:r>
          </w:p>
          <w:p w14:paraId="73D39F37" w14:textId="1A63C96D" w:rsidR="007705C5" w:rsidRDefault="007705C5" w:rsidP="006569B7">
            <w:pPr>
              <w:pStyle w:val="ListParagraph"/>
              <w:widowControl w:val="0"/>
              <w:numPr>
                <w:ilvl w:val="0"/>
                <w:numId w:val="13"/>
              </w:numPr>
              <w:spacing w:after="0" w:line="240" w:lineRule="auto"/>
              <w:jc w:val="both"/>
              <w:rPr>
                <w:rFonts w:ascii="Arial" w:hAnsi="Arial" w:cs="Arial"/>
              </w:rPr>
            </w:pPr>
            <w:r>
              <w:rPr>
                <w:rFonts w:ascii="Arial" w:hAnsi="Arial"/>
              </w:rPr>
              <w:t>Accès à l</w:t>
            </w:r>
            <w:r w:rsidR="00871FB2">
              <w:rPr>
                <w:rFonts w:ascii="Arial" w:hAnsi="Arial"/>
              </w:rPr>
              <w:t>’</w:t>
            </w:r>
            <w:r>
              <w:rPr>
                <w:rFonts w:ascii="Arial" w:hAnsi="Arial"/>
              </w:rPr>
              <w:t>eau pour les animaux</w:t>
            </w:r>
          </w:p>
          <w:p w14:paraId="324F7463" w14:textId="20858DDA" w:rsidR="007705C5" w:rsidRPr="007705C5" w:rsidRDefault="007705C5" w:rsidP="006569B7">
            <w:pPr>
              <w:pStyle w:val="ListParagraph"/>
              <w:widowControl w:val="0"/>
              <w:numPr>
                <w:ilvl w:val="0"/>
                <w:numId w:val="13"/>
              </w:numPr>
              <w:spacing w:after="0" w:line="240" w:lineRule="auto"/>
              <w:jc w:val="both"/>
              <w:rPr>
                <w:rFonts w:ascii="Arial" w:hAnsi="Arial" w:cs="Arial"/>
              </w:rPr>
            </w:pPr>
            <w:r>
              <w:rPr>
                <w:rFonts w:ascii="Arial" w:hAnsi="Arial"/>
              </w:rPr>
              <w:t>Accès aux services financiers</w:t>
            </w:r>
          </w:p>
        </w:tc>
      </w:tr>
    </w:tbl>
    <w:p w14:paraId="2BC4E3E2" w14:textId="3E9F97F9" w:rsidR="00726C3C" w:rsidRPr="007705C5" w:rsidRDefault="00726C3C" w:rsidP="006569B7">
      <w:pPr>
        <w:widowControl w:val="0"/>
        <w:spacing w:line="240" w:lineRule="auto"/>
        <w:jc w:val="both"/>
        <w:rPr>
          <w:rFonts w:ascii="Arial" w:hAnsi="Arial" w:cs="Arial"/>
        </w:rPr>
      </w:pPr>
      <w:r>
        <w:rPr>
          <w:rFonts w:ascii="Arial" w:hAnsi="Arial"/>
        </w:rPr>
        <w:t xml:space="preserve"> </w:t>
      </w:r>
    </w:p>
    <w:tbl>
      <w:tblPr>
        <w:tblStyle w:val="TableGrid"/>
        <w:tblW w:w="0" w:type="auto"/>
        <w:tblInd w:w="895" w:type="dxa"/>
        <w:shd w:val="pct10" w:color="auto" w:fill="auto"/>
        <w:tblLook w:val="04A0" w:firstRow="1" w:lastRow="0" w:firstColumn="1" w:lastColumn="0" w:noHBand="0" w:noVBand="1"/>
      </w:tblPr>
      <w:tblGrid>
        <w:gridCol w:w="7650"/>
      </w:tblGrid>
      <w:tr w:rsidR="00DC2474" w14:paraId="03EFB75F" w14:textId="77777777" w:rsidTr="006848C3">
        <w:tc>
          <w:tcPr>
            <w:tcW w:w="7650" w:type="dxa"/>
            <w:shd w:val="pct10" w:color="auto" w:fill="auto"/>
          </w:tcPr>
          <w:p w14:paraId="562C7E22" w14:textId="22F9CF2C" w:rsidR="00DC2474" w:rsidRPr="00D85523" w:rsidRDefault="006860A8" w:rsidP="006569B7">
            <w:pPr>
              <w:tabs>
                <w:tab w:val="right" w:pos="9360"/>
              </w:tabs>
              <w:spacing w:after="0" w:line="240" w:lineRule="auto"/>
              <w:jc w:val="both"/>
              <w:rPr>
                <w:rFonts w:ascii="Arial" w:hAnsi="Arial" w:cs="Arial"/>
                <w:bCs/>
                <w:color w:val="666666"/>
              </w:rPr>
            </w:pPr>
            <w:r>
              <w:rPr>
                <w:rFonts w:ascii="Arial" w:hAnsi="Arial"/>
              </w:rPr>
              <w:t>Ne copiez pas et ne collez pas ces objectifs dans votre proposition technique. Vous ne devez vous référer à ce cahier des charges que si vous souhaitez faire référence aux objectifs (par exemple, pour atteindre les objectifs</w:t>
            </w:r>
            <w:r w:rsidR="00871FB2">
              <w:rPr>
                <w:rFonts w:ascii="Arial" w:hAnsi="Arial"/>
              </w:rPr>
              <w:t> </w:t>
            </w:r>
            <w:r>
              <w:rPr>
                <w:rFonts w:ascii="Arial" w:hAnsi="Arial"/>
              </w:rPr>
              <w:t xml:space="preserve">1, 2 ou 3 du cahier des charges, nous proposons.......). </w:t>
            </w:r>
          </w:p>
        </w:tc>
      </w:tr>
    </w:tbl>
    <w:p w14:paraId="667A729C" w14:textId="77777777" w:rsidR="00DC2474" w:rsidRDefault="00DC2474" w:rsidP="006569B7">
      <w:pPr>
        <w:tabs>
          <w:tab w:val="right" w:pos="9360"/>
        </w:tabs>
        <w:spacing w:after="0" w:line="240" w:lineRule="auto"/>
        <w:ind w:left="360" w:hanging="360"/>
        <w:jc w:val="both"/>
        <w:rPr>
          <w:rFonts w:ascii="Arial" w:hAnsi="Arial" w:cs="Arial"/>
          <w:b/>
          <w:color w:val="666666"/>
        </w:rPr>
      </w:pPr>
    </w:p>
    <w:p w14:paraId="42EAFEFC" w14:textId="77777777" w:rsidR="00DC2474" w:rsidRDefault="00DC2474" w:rsidP="006569B7">
      <w:pPr>
        <w:tabs>
          <w:tab w:val="right" w:pos="9360"/>
        </w:tabs>
        <w:spacing w:after="0" w:line="240" w:lineRule="auto"/>
        <w:ind w:left="360" w:hanging="360"/>
        <w:jc w:val="both"/>
        <w:rPr>
          <w:rFonts w:ascii="Arial" w:hAnsi="Arial" w:cs="Arial"/>
          <w:b/>
          <w:color w:val="666666"/>
        </w:rPr>
      </w:pPr>
    </w:p>
    <w:p w14:paraId="3180AF73" w14:textId="34421709" w:rsidR="00A529F8" w:rsidRPr="00056B16" w:rsidRDefault="00A529F8" w:rsidP="006569B7">
      <w:pPr>
        <w:tabs>
          <w:tab w:val="right" w:pos="9360"/>
        </w:tabs>
        <w:spacing w:after="0" w:line="240" w:lineRule="auto"/>
        <w:ind w:left="360" w:hanging="360"/>
        <w:jc w:val="both"/>
        <w:rPr>
          <w:rFonts w:ascii="Arial" w:hAnsi="Arial" w:cs="Arial"/>
          <w:b/>
        </w:rPr>
      </w:pPr>
      <w:r>
        <w:rPr>
          <w:rFonts w:ascii="Arial" w:hAnsi="Arial"/>
          <w:b/>
          <w:color w:val="666666"/>
        </w:rPr>
        <w:t xml:space="preserve">3) </w:t>
      </w:r>
      <w:r>
        <w:rPr>
          <w:rFonts w:ascii="Arial" w:hAnsi="Arial"/>
          <w:b/>
          <w:color w:val="666666"/>
        </w:rPr>
        <w:tab/>
        <w:t>Documents pertinents</w:t>
      </w:r>
      <w:r>
        <w:rPr>
          <w:rFonts w:ascii="Arial" w:hAnsi="Arial"/>
          <w:b/>
        </w:rPr>
        <w:tab/>
      </w:r>
    </w:p>
    <w:p w14:paraId="5ADA192D" w14:textId="28B412EE" w:rsidR="00A529F8" w:rsidRPr="00056B16" w:rsidRDefault="009C7A34" w:rsidP="006569B7">
      <w:pPr>
        <w:spacing w:line="240" w:lineRule="auto"/>
        <w:jc w:val="both"/>
        <w:rPr>
          <w:rFonts w:ascii="Arial" w:hAnsi="Arial" w:cs="Arial"/>
        </w:rPr>
      </w:pPr>
      <w:r>
        <w:rPr>
          <w:rFonts w:ascii="Arial" w:hAnsi="Arial"/>
        </w:rPr>
        <w:t>Les documents suivants seront mis à la disposition de l</w:t>
      </w:r>
      <w:r w:rsidR="00871FB2">
        <w:rPr>
          <w:rFonts w:ascii="Arial" w:hAnsi="Arial"/>
        </w:rPr>
        <w:t>’</w:t>
      </w:r>
      <w:r>
        <w:rPr>
          <w:rFonts w:ascii="Arial" w:hAnsi="Arial"/>
        </w:rPr>
        <w:t>entreprise retenue dans les 3</w:t>
      </w:r>
      <w:r w:rsidR="00871FB2">
        <w:rPr>
          <w:rFonts w:ascii="Arial" w:hAnsi="Arial"/>
        </w:rPr>
        <w:t> </w:t>
      </w:r>
      <w:r>
        <w:rPr>
          <w:rFonts w:ascii="Arial" w:hAnsi="Arial"/>
        </w:rPr>
        <w:t xml:space="preserve">jours suivant la signature du contrat </w:t>
      </w:r>
    </w:p>
    <w:p w14:paraId="48E0341D" w14:textId="2BE7C339" w:rsidR="003A1863" w:rsidRPr="00056B16" w:rsidRDefault="003A1863" w:rsidP="006569B7">
      <w:pPr>
        <w:pStyle w:val="ListParagraph"/>
        <w:numPr>
          <w:ilvl w:val="0"/>
          <w:numId w:val="6"/>
        </w:numPr>
        <w:spacing w:line="240" w:lineRule="auto"/>
        <w:jc w:val="both"/>
        <w:rPr>
          <w:rFonts w:ascii="Arial" w:hAnsi="Arial" w:cs="Arial"/>
        </w:rPr>
      </w:pPr>
      <w:r>
        <w:rPr>
          <w:rFonts w:ascii="Arial" w:hAnsi="Arial"/>
        </w:rPr>
        <w:t xml:space="preserve">Tableau de suivi des performances des indicateurs </w:t>
      </w:r>
    </w:p>
    <w:p w14:paraId="5C3C12DA" w14:textId="1F470C47" w:rsidR="003A1863" w:rsidRPr="00056B16" w:rsidRDefault="003A1863" w:rsidP="006569B7">
      <w:pPr>
        <w:pStyle w:val="ListParagraph"/>
        <w:numPr>
          <w:ilvl w:val="0"/>
          <w:numId w:val="6"/>
        </w:numPr>
        <w:spacing w:line="240" w:lineRule="auto"/>
        <w:jc w:val="both"/>
        <w:rPr>
          <w:rFonts w:ascii="Arial" w:hAnsi="Arial" w:cs="Arial"/>
        </w:rPr>
      </w:pPr>
      <w:r>
        <w:rPr>
          <w:rFonts w:ascii="Arial" w:hAnsi="Arial"/>
        </w:rPr>
        <w:t>Plan d</w:t>
      </w:r>
      <w:r w:rsidR="00871FB2">
        <w:rPr>
          <w:rFonts w:ascii="Arial" w:hAnsi="Arial"/>
        </w:rPr>
        <w:t>’</w:t>
      </w:r>
      <w:r>
        <w:rPr>
          <w:rFonts w:ascii="Arial" w:hAnsi="Arial"/>
        </w:rPr>
        <w:t>indicateurs des PRI</w:t>
      </w:r>
    </w:p>
    <w:p w14:paraId="07AC18A1" w14:textId="1AF4CDF3" w:rsidR="003A1863" w:rsidRPr="00056B16" w:rsidRDefault="003A1863" w:rsidP="006569B7">
      <w:pPr>
        <w:pStyle w:val="ListParagraph"/>
        <w:numPr>
          <w:ilvl w:val="0"/>
          <w:numId w:val="6"/>
        </w:numPr>
        <w:spacing w:line="240" w:lineRule="auto"/>
        <w:jc w:val="both"/>
        <w:rPr>
          <w:rFonts w:ascii="Arial" w:hAnsi="Arial" w:cs="Arial"/>
        </w:rPr>
      </w:pPr>
      <w:r>
        <w:rPr>
          <w:rFonts w:ascii="Arial" w:hAnsi="Arial"/>
        </w:rPr>
        <w:t xml:space="preserve">Cadre logique des PRI </w:t>
      </w:r>
    </w:p>
    <w:p w14:paraId="70398D63" w14:textId="22D9ADE0" w:rsidR="003A1863" w:rsidRPr="00056B16" w:rsidRDefault="003A1863" w:rsidP="006569B7">
      <w:pPr>
        <w:pStyle w:val="ListParagraph"/>
        <w:numPr>
          <w:ilvl w:val="0"/>
          <w:numId w:val="6"/>
        </w:numPr>
        <w:spacing w:line="240" w:lineRule="auto"/>
        <w:jc w:val="both"/>
        <w:rPr>
          <w:rFonts w:ascii="Arial" w:hAnsi="Arial" w:cs="Arial"/>
        </w:rPr>
      </w:pPr>
      <w:r>
        <w:rPr>
          <w:rFonts w:ascii="Arial" w:hAnsi="Arial"/>
        </w:rPr>
        <w:t>Cadre de résultats des PRI</w:t>
      </w:r>
    </w:p>
    <w:p w14:paraId="7153A54D" w14:textId="3BDC316E" w:rsidR="002F13D0" w:rsidRPr="00056B16" w:rsidRDefault="005C31DD" w:rsidP="006569B7">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 xml:space="preserve">Projets de plans de travail des PRI </w:t>
      </w:r>
    </w:p>
    <w:p w14:paraId="77567E8E" w14:textId="2F6D9326" w:rsidR="009F3C61" w:rsidRPr="00056B16" w:rsidRDefault="003A1863" w:rsidP="006569B7">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 xml:space="preserve">Évaluations formatives planifiées réalisées pendant la durée du programme.  </w:t>
      </w:r>
    </w:p>
    <w:p w14:paraId="262E8C0D" w14:textId="78C8FE15" w:rsidR="002570E8" w:rsidRPr="00056B16" w:rsidRDefault="008B272B" w:rsidP="006569B7">
      <w:pPr>
        <w:pStyle w:val="ListParagraph"/>
        <w:numPr>
          <w:ilvl w:val="0"/>
          <w:numId w:val="6"/>
        </w:numPr>
        <w:pBdr>
          <w:top w:val="nil"/>
          <w:left w:val="nil"/>
          <w:bottom w:val="nil"/>
          <w:right w:val="nil"/>
          <w:between w:val="nil"/>
        </w:pBdr>
        <w:spacing w:line="240" w:lineRule="auto"/>
        <w:jc w:val="both"/>
        <w:rPr>
          <w:rFonts w:ascii="Arial" w:hAnsi="Arial" w:cs="Arial"/>
          <w:bCs/>
        </w:rPr>
      </w:pPr>
      <w:r>
        <w:rPr>
          <w:rFonts w:ascii="Arial" w:hAnsi="Arial"/>
        </w:rPr>
        <w:t xml:space="preserve">Autres documents nécessaires pour atteindre les objectifs de ce SOW. </w:t>
      </w:r>
    </w:p>
    <w:p w14:paraId="6C96FDA8" w14:textId="65337548" w:rsidR="00A529F8" w:rsidRDefault="00A529F8" w:rsidP="006569B7">
      <w:pPr>
        <w:spacing w:after="0" w:line="240" w:lineRule="auto"/>
        <w:ind w:left="360" w:hanging="360"/>
        <w:jc w:val="both"/>
        <w:rPr>
          <w:rFonts w:ascii="Arial" w:hAnsi="Arial" w:cs="Arial"/>
          <w:b/>
          <w:color w:val="666666"/>
        </w:rPr>
      </w:pPr>
      <w:r>
        <w:rPr>
          <w:rFonts w:ascii="Arial" w:hAnsi="Arial"/>
          <w:b/>
          <w:color w:val="666666"/>
        </w:rPr>
        <w:t>4) Conception et méthodes d</w:t>
      </w:r>
      <w:r w:rsidR="00871FB2">
        <w:rPr>
          <w:rFonts w:ascii="Arial" w:hAnsi="Arial"/>
          <w:b/>
          <w:color w:val="666666"/>
        </w:rPr>
        <w:t>’</w:t>
      </w:r>
      <w:r>
        <w:rPr>
          <w:rFonts w:ascii="Arial" w:hAnsi="Arial"/>
          <w:b/>
          <w:color w:val="666666"/>
        </w:rPr>
        <w:t>évaluation de l</w:t>
      </w:r>
      <w:r w:rsidR="00871FB2">
        <w:rPr>
          <w:rFonts w:ascii="Arial" w:hAnsi="Arial"/>
          <w:b/>
          <w:color w:val="666666"/>
        </w:rPr>
        <w:t>’</w:t>
      </w:r>
      <w:r>
        <w:rPr>
          <w:rFonts w:ascii="Arial" w:hAnsi="Arial"/>
          <w:b/>
          <w:color w:val="666666"/>
        </w:rPr>
        <w:t>impact</w:t>
      </w:r>
    </w:p>
    <w:p w14:paraId="0410DA88" w14:textId="77777777" w:rsidR="00F17015" w:rsidRDefault="00F17015" w:rsidP="006569B7">
      <w:pPr>
        <w:spacing w:after="0" w:line="240" w:lineRule="auto"/>
        <w:ind w:left="360" w:hanging="360"/>
        <w:jc w:val="both"/>
        <w:rPr>
          <w:rFonts w:ascii="Arial" w:hAnsi="Arial" w:cs="Arial"/>
          <w:b/>
          <w:color w:val="666666"/>
        </w:rPr>
      </w:pPr>
    </w:p>
    <w:p w14:paraId="08B6B055" w14:textId="6C795818" w:rsidR="00F17015" w:rsidRDefault="00F17015" w:rsidP="006569B7">
      <w:pPr>
        <w:widowControl w:val="0"/>
        <w:spacing w:line="240" w:lineRule="auto"/>
        <w:jc w:val="both"/>
        <w:rPr>
          <w:rFonts w:ascii="Arial" w:hAnsi="Arial" w:cs="Arial"/>
        </w:rPr>
      </w:pPr>
      <w:r>
        <w:rPr>
          <w:rFonts w:ascii="Arial" w:hAnsi="Arial"/>
        </w:rPr>
        <w:t>La méthodologie de l</w:t>
      </w:r>
      <w:r w:rsidR="00871FB2">
        <w:rPr>
          <w:rFonts w:ascii="Arial" w:hAnsi="Arial"/>
        </w:rPr>
        <w:t>’</w:t>
      </w:r>
      <w:r>
        <w:rPr>
          <w:rFonts w:ascii="Arial" w:hAnsi="Arial"/>
        </w:rPr>
        <w:t>évaluation d</w:t>
      </w:r>
      <w:r w:rsidR="00871FB2">
        <w:rPr>
          <w:rFonts w:ascii="Arial" w:hAnsi="Arial"/>
        </w:rPr>
        <w:t>’</w:t>
      </w:r>
      <w:r>
        <w:rPr>
          <w:rFonts w:ascii="Arial" w:hAnsi="Arial"/>
        </w:rPr>
        <w:t>impact doit reposer sur une conception expérimentale ou quasi-expérimentale de l</w:t>
      </w:r>
      <w:r w:rsidR="00871FB2">
        <w:rPr>
          <w:rFonts w:ascii="Arial" w:hAnsi="Arial"/>
        </w:rPr>
        <w:t>’</w:t>
      </w:r>
      <w:r>
        <w:rPr>
          <w:rFonts w:ascii="Arial" w:hAnsi="Arial"/>
        </w:rPr>
        <w:t>évaluation d</w:t>
      </w:r>
      <w:r w:rsidR="00871FB2">
        <w:rPr>
          <w:rFonts w:ascii="Arial" w:hAnsi="Arial"/>
        </w:rPr>
        <w:t>’</w:t>
      </w:r>
      <w:r>
        <w:rPr>
          <w:rFonts w:ascii="Arial" w:hAnsi="Arial"/>
        </w:rPr>
        <w:t>impact et comprendre une enquête de référence et une enquête finale. Les instruments d</w:t>
      </w:r>
      <w:r w:rsidR="00871FB2">
        <w:rPr>
          <w:rFonts w:ascii="Arial" w:hAnsi="Arial"/>
        </w:rPr>
        <w:t>’</w:t>
      </w:r>
      <w:r>
        <w:rPr>
          <w:rFonts w:ascii="Arial" w:hAnsi="Arial"/>
        </w:rPr>
        <w:t xml:space="preserve">enquête doivent être rédigés par les évaluateurs et inclure au minimum les indicateurs de résultats énumérés ci-dessus, ainsi que toute autre covariable pertinente déterminée par les évaluateurs et Mercy Corps. </w:t>
      </w:r>
    </w:p>
    <w:p w14:paraId="40C2DB75" w14:textId="0E1B4E3F" w:rsidR="00F17015" w:rsidRDefault="0084544D" w:rsidP="006569B7">
      <w:pPr>
        <w:widowControl w:val="0"/>
        <w:spacing w:line="240" w:lineRule="auto"/>
        <w:jc w:val="both"/>
        <w:rPr>
          <w:rFonts w:ascii="Arial" w:hAnsi="Arial" w:cs="Arial"/>
        </w:rPr>
      </w:pPr>
      <w:r>
        <w:rPr>
          <w:rFonts w:ascii="Arial" w:hAnsi="Arial"/>
        </w:rPr>
        <w:lastRenderedPageBreak/>
        <w:t>La taille de l</w:t>
      </w:r>
      <w:r w:rsidR="00871FB2">
        <w:rPr>
          <w:rFonts w:ascii="Arial" w:hAnsi="Arial"/>
        </w:rPr>
        <w:t>’</w:t>
      </w:r>
      <w:r>
        <w:rPr>
          <w:rFonts w:ascii="Arial" w:hAnsi="Arial"/>
        </w:rPr>
        <w:t>échantillon doit être basée sur une analyse de puissance utilisant des effets minimaux détectables réalistes pour environ trois ans de traitement. Les évaluateurs sont invités à fournir un exemple de calcul de puissance pour l</w:t>
      </w:r>
      <w:r w:rsidR="00871FB2">
        <w:rPr>
          <w:rFonts w:ascii="Arial" w:hAnsi="Arial"/>
        </w:rPr>
        <w:t>’</w:t>
      </w:r>
      <w:r>
        <w:rPr>
          <w:rFonts w:ascii="Arial" w:hAnsi="Arial"/>
        </w:rPr>
        <w:t>un des résultats mentionnés ci-dessus, en précisant les paramètres et les hypothèses qu</w:t>
      </w:r>
      <w:r w:rsidR="00871FB2">
        <w:rPr>
          <w:rFonts w:ascii="Arial" w:hAnsi="Arial"/>
        </w:rPr>
        <w:t>’</w:t>
      </w:r>
      <w:r>
        <w:rPr>
          <w:rFonts w:ascii="Arial" w:hAnsi="Arial"/>
        </w:rPr>
        <w:t>ils utilisent. Les évaluateurs doivent également indiquer comment ils entendent déterminer la taille de l</w:t>
      </w:r>
      <w:r w:rsidR="00871FB2">
        <w:rPr>
          <w:rFonts w:ascii="Arial" w:hAnsi="Arial"/>
        </w:rPr>
        <w:t>’</w:t>
      </w:r>
      <w:r>
        <w:rPr>
          <w:rFonts w:ascii="Arial" w:hAnsi="Arial"/>
        </w:rPr>
        <w:t>échantillon final. Les évaluateurs doivent décrire leur stratégie d</w:t>
      </w:r>
      <w:r w:rsidR="00871FB2">
        <w:rPr>
          <w:rFonts w:ascii="Arial" w:hAnsi="Arial"/>
        </w:rPr>
        <w:t>’</w:t>
      </w:r>
      <w:r>
        <w:rPr>
          <w:rFonts w:ascii="Arial" w:hAnsi="Arial"/>
        </w:rPr>
        <w:t>identification spécifique pour estimer l</w:t>
      </w:r>
      <w:r w:rsidR="00871FB2">
        <w:rPr>
          <w:rFonts w:ascii="Arial" w:hAnsi="Arial"/>
        </w:rPr>
        <w:t>’</w:t>
      </w:r>
      <w:r>
        <w:rPr>
          <w:rFonts w:ascii="Arial" w:hAnsi="Arial"/>
        </w:rPr>
        <w:t>impact et fournir au moins un modèle d</w:t>
      </w:r>
      <w:r w:rsidR="00871FB2">
        <w:rPr>
          <w:rFonts w:ascii="Arial" w:hAnsi="Arial"/>
        </w:rPr>
        <w:t>’</w:t>
      </w:r>
      <w:r>
        <w:rPr>
          <w:rFonts w:ascii="Arial" w:hAnsi="Arial"/>
        </w:rPr>
        <w:t xml:space="preserve">estimation illustratif. </w:t>
      </w:r>
    </w:p>
    <w:p w14:paraId="37BD3908" w14:textId="48956DC6" w:rsidR="00D95F6A" w:rsidRDefault="00765C0D" w:rsidP="006569B7">
      <w:pPr>
        <w:widowControl w:val="0"/>
        <w:spacing w:line="240" w:lineRule="auto"/>
        <w:jc w:val="both"/>
        <w:rPr>
          <w:rFonts w:ascii="Arial" w:hAnsi="Arial" w:cs="Arial"/>
        </w:rPr>
      </w:pPr>
      <w:r>
        <w:rPr>
          <w:rFonts w:ascii="Arial" w:hAnsi="Arial"/>
        </w:rPr>
        <w:t>Les évaluateurs doivent utiliser un logiciel d</w:t>
      </w:r>
      <w:r w:rsidR="00871FB2">
        <w:rPr>
          <w:rFonts w:ascii="Arial" w:hAnsi="Arial"/>
        </w:rPr>
        <w:t>’</w:t>
      </w:r>
      <w:r>
        <w:rPr>
          <w:rFonts w:ascii="Arial" w:hAnsi="Arial"/>
        </w:rPr>
        <w:t xml:space="preserve">analyse quantitative largement accepté (Stata, R ou SPSS). </w:t>
      </w:r>
    </w:p>
    <w:p w14:paraId="0B1E1AE9" w14:textId="6A8C2FC1" w:rsidR="00BF4B69" w:rsidRPr="00056B16" w:rsidRDefault="00961C7F" w:rsidP="006569B7">
      <w:pPr>
        <w:widowControl w:val="0"/>
        <w:spacing w:line="240" w:lineRule="auto"/>
        <w:jc w:val="both"/>
        <w:rPr>
          <w:rFonts w:ascii="Arial" w:hAnsi="Arial" w:cs="Arial"/>
          <w:b/>
          <w:bCs/>
        </w:rPr>
      </w:pPr>
      <w:r>
        <w:rPr>
          <w:rFonts w:ascii="Arial" w:hAnsi="Arial"/>
          <w:b/>
          <w:color w:val="808080" w:themeColor="background1" w:themeShade="80"/>
        </w:rPr>
        <w:t xml:space="preserve">5) Ce que Mercy Corps fournira </w:t>
      </w:r>
    </w:p>
    <w:p w14:paraId="7ACF11D0" w14:textId="27A12930" w:rsidR="00BF4B69" w:rsidRPr="00056B16" w:rsidRDefault="00BF4B69" w:rsidP="006569B7">
      <w:pPr>
        <w:widowControl w:val="0"/>
        <w:spacing w:line="240" w:lineRule="auto"/>
        <w:ind w:left="720"/>
        <w:jc w:val="both"/>
        <w:rPr>
          <w:rFonts w:ascii="Arial" w:hAnsi="Arial" w:cs="Arial"/>
        </w:rPr>
      </w:pPr>
      <w:r>
        <w:rPr>
          <w:rFonts w:ascii="Wingdings" w:hAnsi="Wingdings"/>
        </w:rPr>
        <w:t>è</w:t>
      </w:r>
      <w:r>
        <w:rPr>
          <w:rFonts w:ascii="Arial" w:hAnsi="Arial"/>
        </w:rPr>
        <w:t>Mercy Corps fournira tous les téléphones, tablettes et logiciels nécessaires (Mercy Corps a des abonnements à SPSS, Stata, MaxQDA, Commcare, Atlas.ti, Ona, qui peuvent tous être utilisés par l</w:t>
      </w:r>
      <w:r w:rsidR="00871FB2">
        <w:rPr>
          <w:rFonts w:ascii="Arial" w:hAnsi="Arial"/>
        </w:rPr>
        <w:t>’</w:t>
      </w:r>
      <w:r>
        <w:rPr>
          <w:rFonts w:ascii="Arial" w:hAnsi="Arial"/>
        </w:rPr>
        <w:t xml:space="preserve">entreprise pour la durée de cette évaluation). </w:t>
      </w:r>
    </w:p>
    <w:p w14:paraId="2204A40F" w14:textId="03A962E2" w:rsidR="00383527" w:rsidRPr="00056B16" w:rsidRDefault="00180E57" w:rsidP="006569B7">
      <w:pPr>
        <w:widowControl w:val="0"/>
        <w:spacing w:line="240" w:lineRule="auto"/>
        <w:ind w:left="720"/>
        <w:jc w:val="both"/>
        <w:rPr>
          <w:rFonts w:ascii="Arial" w:hAnsi="Arial" w:cs="Arial"/>
        </w:rPr>
      </w:pPr>
      <w:r>
        <w:rPr>
          <w:rFonts w:ascii="Wingdings" w:hAnsi="Wingdings"/>
        </w:rPr>
        <w:t>è</w:t>
      </w:r>
      <w:r>
        <w:rPr>
          <w:rFonts w:ascii="Arial" w:hAnsi="Arial"/>
        </w:rPr>
        <w:t>Mercy Corps fournira tous les véhicules nécessaires à la collecte des données, ainsi que le carburant et le chauffeur (et le salaire et les indemnités journalières du chauffeur). Chaque véhicule peut transporter confortablement 4</w:t>
      </w:r>
      <w:r w:rsidR="00871FB2">
        <w:rPr>
          <w:rFonts w:ascii="Arial" w:hAnsi="Arial"/>
        </w:rPr>
        <w:t> </w:t>
      </w:r>
      <w:r>
        <w:rPr>
          <w:rFonts w:ascii="Arial" w:hAnsi="Arial"/>
        </w:rPr>
        <w:t>personnes (en plus du chauffeur). Il s</w:t>
      </w:r>
      <w:r w:rsidR="00871FB2">
        <w:rPr>
          <w:rFonts w:ascii="Arial" w:hAnsi="Arial"/>
        </w:rPr>
        <w:t>’</w:t>
      </w:r>
      <w:r>
        <w:rPr>
          <w:rFonts w:ascii="Arial" w:hAnsi="Arial"/>
        </w:rPr>
        <w:t>agit de véhicules 4X4. L</w:t>
      </w:r>
      <w:r w:rsidR="00871FB2">
        <w:rPr>
          <w:rFonts w:ascii="Arial" w:hAnsi="Arial"/>
        </w:rPr>
        <w:t>’</w:t>
      </w:r>
      <w:r>
        <w:rPr>
          <w:rFonts w:ascii="Arial" w:hAnsi="Arial"/>
        </w:rPr>
        <w:t>entreprise n</w:t>
      </w:r>
      <w:r w:rsidR="00871FB2">
        <w:rPr>
          <w:rFonts w:ascii="Arial" w:hAnsi="Arial"/>
        </w:rPr>
        <w:t>’</w:t>
      </w:r>
      <w:r>
        <w:rPr>
          <w:rFonts w:ascii="Arial" w:hAnsi="Arial"/>
        </w:rPr>
        <w:t>a qu</w:t>
      </w:r>
      <w:r w:rsidR="00871FB2">
        <w:rPr>
          <w:rFonts w:ascii="Arial" w:hAnsi="Arial"/>
        </w:rPr>
        <w:t>’</w:t>
      </w:r>
      <w:r>
        <w:rPr>
          <w:rFonts w:ascii="Arial" w:hAnsi="Arial"/>
        </w:rPr>
        <w:t xml:space="preserve">à indiquer dans sa proposition combien de véhicules seront nécessaires et pour combien de jours. </w:t>
      </w:r>
    </w:p>
    <w:p w14:paraId="7729D9F2" w14:textId="6C687BEC" w:rsidR="00D14960" w:rsidRPr="00056B16" w:rsidRDefault="00383527" w:rsidP="006569B7">
      <w:pPr>
        <w:widowControl w:val="0"/>
        <w:spacing w:line="240" w:lineRule="auto"/>
        <w:ind w:left="720"/>
        <w:jc w:val="both"/>
        <w:rPr>
          <w:rFonts w:ascii="Arial" w:hAnsi="Arial" w:cs="Arial"/>
        </w:rPr>
      </w:pPr>
      <w:r>
        <w:rPr>
          <w:rFonts w:ascii="Wingdings" w:hAnsi="Wingdings"/>
        </w:rPr>
        <w:t>è</w:t>
      </w:r>
      <w:r>
        <w:rPr>
          <w:rFonts w:ascii="Arial" w:hAnsi="Arial"/>
        </w:rPr>
        <w:t>Les deux responsables de l</w:t>
      </w:r>
      <w:r w:rsidR="00871FB2">
        <w:rPr>
          <w:rFonts w:ascii="Arial" w:hAnsi="Arial"/>
        </w:rPr>
        <w:t>’</w:t>
      </w:r>
      <w:r>
        <w:rPr>
          <w:rFonts w:ascii="Arial" w:hAnsi="Arial"/>
        </w:rPr>
        <w:t>équipe MEL des PRI et les six agents MEL seront tous disponibles pendant la durée de l</w:t>
      </w:r>
      <w:r w:rsidR="00871FB2">
        <w:rPr>
          <w:rFonts w:ascii="Arial" w:hAnsi="Arial"/>
        </w:rPr>
        <w:t>’</w:t>
      </w:r>
      <w:r>
        <w:rPr>
          <w:rFonts w:ascii="Arial" w:hAnsi="Arial"/>
        </w:rPr>
        <w:t>évaluation pour aider à la formation et à la supervision des collecteurs de données, ainsi qu</w:t>
      </w:r>
      <w:r w:rsidR="00871FB2">
        <w:rPr>
          <w:rFonts w:ascii="Arial" w:hAnsi="Arial"/>
        </w:rPr>
        <w:t>’</w:t>
      </w:r>
      <w:r>
        <w:rPr>
          <w:rFonts w:ascii="Arial" w:hAnsi="Arial"/>
        </w:rPr>
        <w:t xml:space="preserve">à la gestion des données au fur et à mesure de leur collecte. Mercy Corps prendra en charge le salaire et les indemnités journalières de ces six personnes (équipe MEL). </w:t>
      </w:r>
    </w:p>
    <w:p w14:paraId="27B75D2B" w14:textId="7F66F7F4" w:rsidR="00334A67" w:rsidRPr="00056B16" w:rsidRDefault="00D44F6E" w:rsidP="006569B7">
      <w:pPr>
        <w:widowControl w:val="0"/>
        <w:spacing w:line="240" w:lineRule="auto"/>
        <w:ind w:left="720"/>
        <w:jc w:val="both"/>
        <w:rPr>
          <w:rFonts w:ascii="Arial" w:hAnsi="Arial" w:cs="Arial"/>
        </w:rPr>
      </w:pPr>
      <w:r>
        <w:rPr>
          <w:rFonts w:ascii="Wingdings" w:hAnsi="Wingdings"/>
        </w:rPr>
        <w:t>è</w:t>
      </w:r>
      <w:r>
        <w:rPr>
          <w:rFonts w:ascii="Arial" w:hAnsi="Arial"/>
        </w:rPr>
        <w:t>Mercy Corps peut aider l</w:t>
      </w:r>
      <w:r w:rsidR="00871FB2">
        <w:rPr>
          <w:rFonts w:ascii="Arial" w:hAnsi="Arial"/>
        </w:rPr>
        <w:t>’</w:t>
      </w:r>
      <w:r>
        <w:rPr>
          <w:rFonts w:ascii="Arial" w:hAnsi="Arial"/>
        </w:rPr>
        <w:t>entreprise à réserver des hôtels pour les collecteurs de données. Il suffit de connaître le nombre de collecteurs de données et de superviseurs que votre entreprise embauchera.</w:t>
      </w:r>
    </w:p>
    <w:p w14:paraId="704FA766" w14:textId="61519969" w:rsidR="00D44F6E" w:rsidRPr="00056B16" w:rsidRDefault="00334A67" w:rsidP="006569B7">
      <w:pPr>
        <w:widowControl w:val="0"/>
        <w:spacing w:line="240" w:lineRule="auto"/>
        <w:ind w:left="720"/>
        <w:jc w:val="both"/>
        <w:rPr>
          <w:rFonts w:ascii="Arial" w:hAnsi="Arial" w:cs="Arial"/>
        </w:rPr>
      </w:pPr>
      <w:r>
        <w:rPr>
          <w:rFonts w:ascii="Wingdings" w:hAnsi="Wingdings"/>
        </w:rPr>
        <w:t>è</w:t>
      </w:r>
      <w:r>
        <w:rPr>
          <w:rFonts w:ascii="Arial" w:hAnsi="Arial"/>
        </w:rPr>
        <w:t>Mercy Corps dispose d</w:t>
      </w:r>
      <w:r w:rsidR="00871FB2">
        <w:rPr>
          <w:rFonts w:ascii="Arial" w:hAnsi="Arial"/>
        </w:rPr>
        <w:t>’</w:t>
      </w:r>
      <w:r>
        <w:rPr>
          <w:rFonts w:ascii="Arial" w:hAnsi="Arial"/>
        </w:rPr>
        <w:t>un bureau avec une salle de conférence suffisamment grande pour former jusqu</w:t>
      </w:r>
      <w:r w:rsidR="00871FB2">
        <w:rPr>
          <w:rFonts w:ascii="Arial" w:hAnsi="Arial"/>
        </w:rPr>
        <w:t>’</w:t>
      </w:r>
      <w:r>
        <w:rPr>
          <w:rFonts w:ascii="Arial" w:hAnsi="Arial"/>
        </w:rPr>
        <w:t>à 30</w:t>
      </w:r>
      <w:r w:rsidR="00871FB2">
        <w:rPr>
          <w:rFonts w:ascii="Arial" w:hAnsi="Arial"/>
        </w:rPr>
        <w:t> </w:t>
      </w:r>
      <w:r>
        <w:rPr>
          <w:rFonts w:ascii="Arial" w:hAnsi="Arial"/>
        </w:rPr>
        <w:t>collecteurs de données et qui sera à la disposition de l</w:t>
      </w:r>
      <w:r w:rsidR="00871FB2">
        <w:rPr>
          <w:rFonts w:ascii="Arial" w:hAnsi="Arial"/>
        </w:rPr>
        <w:t>’</w:t>
      </w:r>
      <w:r>
        <w:rPr>
          <w:rFonts w:ascii="Arial" w:hAnsi="Arial"/>
        </w:rPr>
        <w:t xml:space="preserve">entreprise.  </w:t>
      </w:r>
    </w:p>
    <w:p w14:paraId="191ACB4B" w14:textId="12B9E3F4" w:rsidR="00D44F6E" w:rsidRPr="00056B16" w:rsidRDefault="007511E2" w:rsidP="006569B7">
      <w:pPr>
        <w:spacing w:after="0" w:line="240" w:lineRule="auto"/>
        <w:ind w:left="720"/>
        <w:jc w:val="both"/>
        <w:rPr>
          <w:rFonts w:ascii="Arial" w:hAnsi="Arial" w:cs="Arial"/>
          <w:bCs/>
          <w:color w:val="000000"/>
        </w:rPr>
      </w:pPr>
      <w:r>
        <w:rPr>
          <w:rFonts w:ascii="Wingdings" w:hAnsi="Wingdings"/>
          <w:color w:val="000000"/>
        </w:rPr>
        <w:t>è</w:t>
      </w:r>
      <w:r>
        <w:rPr>
          <w:rFonts w:ascii="Arial" w:hAnsi="Arial"/>
          <w:color w:val="000000"/>
        </w:rPr>
        <w:t xml:space="preserve">Mercy Corps prendra en charge les frais de traduction. </w:t>
      </w:r>
    </w:p>
    <w:p w14:paraId="22C24A3A" w14:textId="77777777" w:rsidR="0067487E" w:rsidRDefault="0067487E" w:rsidP="006569B7">
      <w:pPr>
        <w:spacing w:after="0" w:line="240" w:lineRule="auto"/>
        <w:jc w:val="both"/>
        <w:rPr>
          <w:rFonts w:ascii="Arial" w:hAnsi="Arial" w:cs="Arial"/>
          <w:b/>
          <w:color w:val="000000"/>
        </w:rPr>
      </w:pPr>
    </w:p>
    <w:p w14:paraId="4F182A6F" w14:textId="6180BC3D" w:rsidR="00A529F8" w:rsidRPr="00056B16" w:rsidRDefault="00A529F8" w:rsidP="006569B7">
      <w:pPr>
        <w:spacing w:after="0" w:line="240" w:lineRule="auto"/>
        <w:jc w:val="both"/>
        <w:rPr>
          <w:rFonts w:ascii="Arial" w:hAnsi="Arial" w:cs="Arial"/>
          <w:b/>
          <w:color w:val="808080" w:themeColor="background1" w:themeShade="80"/>
        </w:rPr>
      </w:pPr>
      <w:r>
        <w:rPr>
          <w:rFonts w:ascii="Arial" w:hAnsi="Arial"/>
          <w:b/>
          <w:color w:val="808080" w:themeColor="background1" w:themeShade="80"/>
        </w:rPr>
        <w:t>6. Qualité des données, sécurité et protection des sujets humains.</w:t>
      </w:r>
    </w:p>
    <w:p w14:paraId="6D20BE89" w14:textId="127728F7" w:rsidR="00A529F8" w:rsidRPr="00056B16" w:rsidRDefault="00A529F8" w:rsidP="006569B7">
      <w:pPr>
        <w:pBdr>
          <w:top w:val="nil"/>
          <w:left w:val="nil"/>
          <w:bottom w:val="nil"/>
          <w:right w:val="nil"/>
          <w:between w:val="nil"/>
        </w:pBdr>
        <w:spacing w:before="120" w:after="120" w:line="240" w:lineRule="auto"/>
        <w:jc w:val="both"/>
        <w:rPr>
          <w:rFonts w:ascii="Arial" w:hAnsi="Arial" w:cs="Arial"/>
          <w:color w:val="000000"/>
        </w:rPr>
      </w:pPr>
      <w:r>
        <w:rPr>
          <w:rFonts w:ascii="Arial" w:hAnsi="Arial"/>
          <w:color w:val="000000"/>
        </w:rPr>
        <w:t>La qualité des données ne doit pas être compromise et le maximum de précautions doit être pris pour éviter ou au moins minimiser les erreurs à tous les stades de la collecte des données. La façon dont la protection des informations d</w:t>
      </w:r>
      <w:r w:rsidR="00871FB2">
        <w:rPr>
          <w:rFonts w:ascii="Arial" w:hAnsi="Arial"/>
          <w:color w:val="000000"/>
        </w:rPr>
        <w:t>’</w:t>
      </w:r>
      <w:r>
        <w:rPr>
          <w:rFonts w:ascii="Arial" w:hAnsi="Arial"/>
          <w:color w:val="000000"/>
        </w:rPr>
        <w:t>identification personnelle (PII) et la sécurité et le bien-être des participants (protection des sujets humains) doivent être décrits dans la proposition technique.</w:t>
      </w:r>
    </w:p>
    <w:p w14:paraId="7703605F" w14:textId="77777777" w:rsidR="00A529F8" w:rsidRPr="00056B16" w:rsidRDefault="00A529F8" w:rsidP="006569B7">
      <w:pPr>
        <w:spacing w:line="240" w:lineRule="auto"/>
        <w:jc w:val="both"/>
        <w:rPr>
          <w:rFonts w:ascii="Arial" w:hAnsi="Arial" w:cs="Arial"/>
          <w:b/>
          <w:color w:val="808080" w:themeColor="background1" w:themeShade="80"/>
        </w:rPr>
      </w:pPr>
      <w:r>
        <w:rPr>
          <w:rFonts w:ascii="Arial" w:hAnsi="Arial"/>
          <w:b/>
          <w:color w:val="808080" w:themeColor="background1" w:themeShade="80"/>
        </w:rPr>
        <w:t>7. Communication des résultats/réflexions.</w:t>
      </w:r>
    </w:p>
    <w:p w14:paraId="37F6E3A9" w14:textId="2CB82DB0" w:rsidR="00F522D4" w:rsidRPr="00056B16" w:rsidRDefault="00DE418E" w:rsidP="006569B7">
      <w:pPr>
        <w:spacing w:line="240" w:lineRule="auto"/>
        <w:jc w:val="both"/>
        <w:rPr>
          <w:rFonts w:ascii="Arial" w:hAnsi="Arial" w:cs="Arial"/>
        </w:rPr>
      </w:pPr>
      <w:r>
        <w:rPr>
          <w:rFonts w:ascii="Arial" w:hAnsi="Arial"/>
        </w:rPr>
        <w:t>Un rapport final doit être soumis, et la société doit organiser et faciliter une présentation (à distance) des résultats à l</w:t>
      </w:r>
      <w:r w:rsidR="00871FB2">
        <w:rPr>
          <w:rFonts w:ascii="Arial" w:hAnsi="Arial"/>
        </w:rPr>
        <w:t>’</w:t>
      </w:r>
      <w:r>
        <w:rPr>
          <w:rFonts w:ascii="Arial" w:hAnsi="Arial"/>
        </w:rPr>
        <w:t>équipe PRI et à d</w:t>
      </w:r>
      <w:r w:rsidR="00871FB2">
        <w:rPr>
          <w:rFonts w:ascii="Arial" w:hAnsi="Arial"/>
        </w:rPr>
        <w:t>’</w:t>
      </w:r>
      <w:r>
        <w:rPr>
          <w:rFonts w:ascii="Arial" w:hAnsi="Arial"/>
        </w:rPr>
        <w:t xml:space="preserve">autres employés et partenaires de Mercy Corps, comme Mercy Corps le juge approprié. </w:t>
      </w:r>
    </w:p>
    <w:p w14:paraId="2D7BCDAB" w14:textId="30BD7D0D" w:rsidR="009F6187" w:rsidRPr="00056B16" w:rsidRDefault="009F6187" w:rsidP="006569B7">
      <w:pPr>
        <w:spacing w:line="240" w:lineRule="auto"/>
        <w:jc w:val="both"/>
        <w:rPr>
          <w:rFonts w:ascii="Arial" w:hAnsi="Arial" w:cs="Arial"/>
          <w:b/>
          <w:color w:val="808080" w:themeColor="background1" w:themeShade="80"/>
        </w:rPr>
      </w:pPr>
      <w:r>
        <w:rPr>
          <w:rFonts w:ascii="Arial" w:hAnsi="Arial"/>
          <w:b/>
          <w:color w:val="808080" w:themeColor="background1" w:themeShade="80"/>
        </w:rPr>
        <w:t>8. Composition de l</w:t>
      </w:r>
      <w:r w:rsidR="00871FB2">
        <w:rPr>
          <w:rFonts w:ascii="Arial" w:hAnsi="Arial"/>
          <w:b/>
          <w:color w:val="808080" w:themeColor="background1" w:themeShade="80"/>
        </w:rPr>
        <w:t>’</w:t>
      </w:r>
      <w:r>
        <w:rPr>
          <w:rFonts w:ascii="Arial" w:hAnsi="Arial"/>
          <w:b/>
          <w:color w:val="808080" w:themeColor="background1" w:themeShade="80"/>
        </w:rPr>
        <w:t>équipe.</w:t>
      </w:r>
    </w:p>
    <w:p w14:paraId="145B69E8" w14:textId="71F7702C" w:rsidR="009F6187" w:rsidRPr="00056B16" w:rsidRDefault="6B8FAD50" w:rsidP="006569B7">
      <w:pPr>
        <w:tabs>
          <w:tab w:val="left" w:pos="1032"/>
        </w:tabs>
        <w:spacing w:line="240" w:lineRule="auto"/>
        <w:rPr>
          <w:rFonts w:ascii="Arial" w:hAnsi="Arial" w:cs="Arial"/>
        </w:rPr>
      </w:pPr>
      <w:r>
        <w:rPr>
          <w:rFonts w:ascii="Arial" w:hAnsi="Arial"/>
        </w:rPr>
        <w:lastRenderedPageBreak/>
        <w:t>Le cabinet doit proposer une équipe rentable pour cette évaluation. Le rôle des membres de l</w:t>
      </w:r>
      <w:r w:rsidR="00871FB2">
        <w:rPr>
          <w:rFonts w:ascii="Arial" w:hAnsi="Arial"/>
        </w:rPr>
        <w:t>’</w:t>
      </w:r>
      <w:r>
        <w:rPr>
          <w:rFonts w:ascii="Arial" w:hAnsi="Arial"/>
        </w:rPr>
        <w:t>équipe doit être décrit dans la section</w:t>
      </w:r>
      <w:r w:rsidR="00871FB2">
        <w:rPr>
          <w:rFonts w:ascii="Arial" w:hAnsi="Arial"/>
        </w:rPr>
        <w:t> </w:t>
      </w:r>
      <w:r>
        <w:rPr>
          <w:rFonts w:ascii="Arial" w:hAnsi="Arial"/>
        </w:rPr>
        <w:t>II (la proposition technique), mais chaque membre de l</w:t>
      </w:r>
      <w:r w:rsidR="00871FB2">
        <w:rPr>
          <w:rFonts w:ascii="Arial" w:hAnsi="Arial"/>
        </w:rPr>
        <w:t>’</w:t>
      </w:r>
      <w:r>
        <w:rPr>
          <w:rFonts w:ascii="Arial" w:hAnsi="Arial"/>
        </w:rPr>
        <w:t>équipe doit être répertorié par poste/fonction dans la section</w:t>
      </w:r>
      <w:r w:rsidR="00871FB2">
        <w:rPr>
          <w:rFonts w:ascii="Arial" w:hAnsi="Arial"/>
        </w:rPr>
        <w:t> </w:t>
      </w:r>
      <w:r>
        <w:rPr>
          <w:rFonts w:ascii="Arial" w:hAnsi="Arial"/>
        </w:rPr>
        <w:t>III (la «</w:t>
      </w:r>
      <w:r w:rsidR="00871FB2">
        <w:rPr>
          <w:rFonts w:ascii="Arial" w:hAnsi="Arial"/>
        </w:rPr>
        <w:t> </w:t>
      </w:r>
      <w:r>
        <w:rPr>
          <w:rFonts w:ascii="Arial" w:hAnsi="Arial"/>
        </w:rPr>
        <w:t>proposition de LOE</w:t>
      </w:r>
      <w:r w:rsidR="00871FB2">
        <w:rPr>
          <w:rFonts w:ascii="Arial" w:hAnsi="Arial"/>
        </w:rPr>
        <w:t> </w:t>
      </w:r>
      <w:r>
        <w:rPr>
          <w:rFonts w:ascii="Arial" w:hAnsi="Arial"/>
        </w:rPr>
        <w:t>»). Veuillez noter que la composition de l</w:t>
      </w:r>
      <w:r w:rsidR="00871FB2">
        <w:rPr>
          <w:rFonts w:ascii="Arial" w:hAnsi="Arial"/>
        </w:rPr>
        <w:t>’</w:t>
      </w:r>
      <w:r>
        <w:rPr>
          <w:rFonts w:ascii="Arial" w:hAnsi="Arial"/>
        </w:rPr>
        <w:t xml:space="preserve">équipe proposée </w:t>
      </w:r>
      <w:r>
        <w:rPr>
          <w:rFonts w:ascii="Arial" w:hAnsi="Arial"/>
          <w:b/>
        </w:rPr>
        <w:t>ne doit pas nécessairement correspondre ou inclure les deux rôles décrits dans la section des soumissions de CV</w:t>
      </w:r>
      <w:r>
        <w:rPr>
          <w:rFonts w:ascii="Arial" w:hAnsi="Arial"/>
        </w:rPr>
        <w:t xml:space="preserve"> </w:t>
      </w:r>
      <w:r w:rsidR="00871FB2">
        <w:rPr>
          <w:rFonts w:ascii="Arial" w:hAnsi="Arial"/>
        </w:rPr>
        <w:t>—</w:t>
      </w:r>
      <w:r>
        <w:rPr>
          <w:rFonts w:ascii="Arial" w:hAnsi="Arial"/>
        </w:rPr>
        <w:t xml:space="preserve"> les deux profils décrits dans la section</w:t>
      </w:r>
      <w:r w:rsidR="00871FB2">
        <w:rPr>
          <w:rFonts w:ascii="Arial" w:hAnsi="Arial"/>
        </w:rPr>
        <w:t> </w:t>
      </w:r>
      <w:r>
        <w:rPr>
          <w:rFonts w:ascii="Arial" w:hAnsi="Arial"/>
        </w:rPr>
        <w:t>9 sont uniquement destinés aux soumissions de CV.</w:t>
      </w:r>
    </w:p>
    <w:p w14:paraId="716DDE47" w14:textId="5E8A5952" w:rsidR="3808EC3C" w:rsidRDefault="3808EC3C" w:rsidP="006569B7">
      <w:pPr>
        <w:spacing w:line="240" w:lineRule="auto"/>
        <w:jc w:val="both"/>
        <w:rPr>
          <w:rFonts w:ascii="Arial" w:hAnsi="Arial" w:cs="Arial"/>
          <w:b/>
          <w:bCs/>
          <w:color w:val="808080" w:themeColor="background1" w:themeShade="80"/>
        </w:rPr>
      </w:pPr>
      <w:r>
        <w:rPr>
          <w:rFonts w:ascii="Arial" w:hAnsi="Arial"/>
          <w:b/>
          <w:color w:val="808080" w:themeColor="background1" w:themeShade="80"/>
        </w:rPr>
        <w:t>9. Soumissions de CV</w:t>
      </w:r>
    </w:p>
    <w:p w14:paraId="3B6F7F02" w14:textId="11349284" w:rsidR="61665887" w:rsidRDefault="61665887" w:rsidP="006569B7">
      <w:pPr>
        <w:tabs>
          <w:tab w:val="left" w:pos="1032"/>
        </w:tabs>
        <w:spacing w:line="240" w:lineRule="auto"/>
        <w:rPr>
          <w:rFonts w:ascii="Arial" w:eastAsia="Arial" w:hAnsi="Arial" w:cs="Arial"/>
        </w:rPr>
      </w:pPr>
      <w:r>
        <w:rPr>
          <w:rFonts w:ascii="Arial" w:hAnsi="Arial"/>
        </w:rPr>
        <w:t>Veuillez soumettre un CV d</w:t>
      </w:r>
      <w:r w:rsidR="00871FB2">
        <w:rPr>
          <w:rFonts w:ascii="Arial" w:hAnsi="Arial"/>
        </w:rPr>
        <w:t>’</w:t>
      </w:r>
      <w:r>
        <w:rPr>
          <w:rFonts w:ascii="Arial" w:hAnsi="Arial"/>
        </w:rPr>
        <w:t xml:space="preserve">un membre actuel du personnel pour les deux rôles énumérés ci-dessous (2 CV au total au maximum). </w:t>
      </w:r>
      <w:r>
        <w:rPr>
          <w:rFonts w:ascii="Arial" w:hAnsi="Arial"/>
          <w:b/>
        </w:rPr>
        <w:t>Veuillez utiliser le modèle de CV fourni</w:t>
      </w:r>
      <w:r>
        <w:rPr>
          <w:rFonts w:ascii="Arial" w:hAnsi="Arial"/>
        </w:rPr>
        <w:t xml:space="preserve"> Les entreprises doivent</w:t>
      </w:r>
      <w:r>
        <w:t xml:space="preserve"> </w:t>
      </w:r>
      <w:r>
        <w:rPr>
          <w:rFonts w:ascii="Arial" w:hAnsi="Arial"/>
        </w:rPr>
        <w:t>soumettre les membres du personnel qu</w:t>
      </w:r>
      <w:r w:rsidR="00871FB2">
        <w:rPr>
          <w:rFonts w:ascii="Arial" w:hAnsi="Arial"/>
        </w:rPr>
        <w:t>’</w:t>
      </w:r>
      <w:r>
        <w:rPr>
          <w:rFonts w:ascii="Arial" w:hAnsi="Arial"/>
        </w:rPr>
        <w:t xml:space="preserve">elles jugent les plus qualifiés pour ce projet. </w:t>
      </w:r>
      <w:r>
        <w:rPr>
          <w:rFonts w:ascii="Arial" w:hAnsi="Arial"/>
          <w:b/>
        </w:rPr>
        <w:t>Les CV soumis ne doivent pas nécessairement correspondre aux rôles ou aux membres du personnel décrits dans la section «</w:t>
      </w:r>
      <w:r w:rsidR="00871FB2">
        <w:rPr>
          <w:rFonts w:ascii="Arial" w:hAnsi="Arial"/>
          <w:b/>
        </w:rPr>
        <w:t> </w:t>
      </w:r>
      <w:r>
        <w:rPr>
          <w:rFonts w:ascii="Arial" w:hAnsi="Arial"/>
          <w:b/>
        </w:rPr>
        <w:t>Proposition de LOE</w:t>
      </w:r>
      <w:r w:rsidR="00871FB2">
        <w:rPr>
          <w:rFonts w:ascii="Arial" w:hAnsi="Arial"/>
          <w:b/>
        </w:rPr>
        <w:t> </w:t>
      </w:r>
      <w:r>
        <w:rPr>
          <w:rFonts w:ascii="Arial" w:hAnsi="Arial"/>
          <w:b/>
        </w:rPr>
        <w:t>».</w:t>
      </w:r>
      <w:r>
        <w:rPr>
          <w:rFonts w:ascii="Arial" w:hAnsi="Arial"/>
        </w:rPr>
        <w:t xml:space="preserve"> Veuillez soumettre les CV suivants</w:t>
      </w:r>
      <w:r w:rsidR="00871FB2">
        <w:rPr>
          <w:rFonts w:ascii="Arial" w:hAnsi="Arial"/>
        </w:rPr>
        <w:t> </w:t>
      </w:r>
      <w:r>
        <w:rPr>
          <w:rFonts w:ascii="Arial" w:hAnsi="Arial"/>
        </w:rPr>
        <w:t xml:space="preserve">: </w:t>
      </w:r>
    </w:p>
    <w:p w14:paraId="3B56C14C" w14:textId="28E581D6" w:rsidR="61665887" w:rsidRDefault="61665887" w:rsidP="006569B7">
      <w:pPr>
        <w:pStyle w:val="ListParagraph"/>
        <w:numPr>
          <w:ilvl w:val="0"/>
          <w:numId w:val="1"/>
        </w:numPr>
        <w:tabs>
          <w:tab w:val="left" w:pos="1032"/>
        </w:tabs>
        <w:spacing w:line="240" w:lineRule="auto"/>
      </w:pPr>
      <w:r>
        <w:rPr>
          <w:rFonts w:ascii="Arial" w:hAnsi="Arial"/>
        </w:rPr>
        <w:t>Chef de projet</w:t>
      </w:r>
      <w:r w:rsidR="00871FB2">
        <w:rPr>
          <w:rFonts w:ascii="Arial" w:hAnsi="Arial"/>
        </w:rPr>
        <w:t>/</w:t>
      </w:r>
      <w:r>
        <w:rPr>
          <w:rFonts w:ascii="Arial" w:hAnsi="Arial"/>
        </w:rPr>
        <w:t>spécialiste de haut niveau</w:t>
      </w:r>
    </w:p>
    <w:p w14:paraId="1142C991" w14:textId="3CEEE13D" w:rsidR="61665887" w:rsidRDefault="61665887" w:rsidP="006569B7">
      <w:pPr>
        <w:pStyle w:val="ListParagraph"/>
        <w:numPr>
          <w:ilvl w:val="0"/>
          <w:numId w:val="1"/>
        </w:numPr>
        <w:tabs>
          <w:tab w:val="left" w:pos="1032"/>
        </w:tabs>
        <w:spacing w:line="240" w:lineRule="auto"/>
      </w:pPr>
      <w:r>
        <w:rPr>
          <w:rFonts w:ascii="Arial" w:hAnsi="Arial"/>
        </w:rPr>
        <w:t>Chercheur/analyste de niveau intermédiaire</w:t>
      </w:r>
    </w:p>
    <w:p w14:paraId="0347A291" w14:textId="07B2A4D8" w:rsidR="00102B53" w:rsidRPr="00056B16" w:rsidRDefault="3808EC3C" w:rsidP="006569B7">
      <w:pPr>
        <w:spacing w:line="240" w:lineRule="auto"/>
        <w:jc w:val="both"/>
        <w:rPr>
          <w:rFonts w:ascii="Arial" w:hAnsi="Arial" w:cs="Arial"/>
          <w:b/>
          <w:bCs/>
          <w:color w:val="808080" w:themeColor="background1" w:themeShade="80"/>
        </w:rPr>
      </w:pPr>
      <w:r>
        <w:rPr>
          <w:rFonts w:ascii="Arial" w:hAnsi="Arial"/>
          <w:b/>
          <w:color w:val="808080" w:themeColor="background1" w:themeShade="80"/>
        </w:rPr>
        <w:t>10. Niveau d</w:t>
      </w:r>
      <w:r w:rsidR="00871FB2">
        <w:rPr>
          <w:rFonts w:ascii="Arial" w:hAnsi="Arial"/>
          <w:b/>
          <w:color w:val="808080" w:themeColor="background1" w:themeShade="80"/>
        </w:rPr>
        <w:t>’</w:t>
      </w:r>
      <w:r>
        <w:rPr>
          <w:rFonts w:ascii="Arial" w:hAnsi="Arial"/>
          <w:b/>
          <w:color w:val="808080" w:themeColor="background1" w:themeShade="80"/>
        </w:rPr>
        <w:t>effort pour les considérations budgétaires.</w:t>
      </w:r>
    </w:p>
    <w:p w14:paraId="14399E7B" w14:textId="536CB868" w:rsidR="004565FE" w:rsidRDefault="00DA390C" w:rsidP="006569B7">
      <w:pPr>
        <w:spacing w:after="0" w:line="240" w:lineRule="auto"/>
        <w:jc w:val="both"/>
        <w:rPr>
          <w:rFonts w:ascii="Arial" w:hAnsi="Arial" w:cs="Arial"/>
          <w:bCs/>
        </w:rPr>
      </w:pPr>
      <w:r>
        <w:rPr>
          <w:rFonts w:ascii="Arial" w:hAnsi="Arial"/>
        </w:rPr>
        <w:t xml:space="preserve">Jalanda étant un pays fictif, choisissez un </w:t>
      </w:r>
      <w:r w:rsidR="00871FB2">
        <w:rPr>
          <w:rFonts w:ascii="Arial" w:hAnsi="Arial"/>
        </w:rPr>
        <w:t>—</w:t>
      </w:r>
      <w:r>
        <w:rPr>
          <w:rFonts w:ascii="Arial" w:hAnsi="Arial"/>
        </w:rPr>
        <w:t xml:space="preserve"> et un seul </w:t>
      </w:r>
      <w:r w:rsidR="00871FB2">
        <w:rPr>
          <w:rFonts w:ascii="Arial" w:hAnsi="Arial"/>
        </w:rPr>
        <w:t>—</w:t>
      </w:r>
      <w:r>
        <w:rPr>
          <w:rFonts w:ascii="Arial" w:hAnsi="Arial"/>
        </w:rPr>
        <w:t xml:space="preserve"> des pays de référence énumérés ci-dessous comme base de votre proposition de LOE pour ce SOW fictif</w:t>
      </w:r>
      <w:r w:rsidR="00871FB2">
        <w:rPr>
          <w:rFonts w:ascii="Arial" w:hAnsi="Arial"/>
        </w:rPr>
        <w:t> </w:t>
      </w:r>
      <w:r>
        <w:rPr>
          <w:rFonts w:ascii="Arial" w:hAnsi="Arial"/>
        </w:rPr>
        <w:t xml:space="preserve">; sections D et E. </w:t>
      </w:r>
      <w:r>
        <w:rPr>
          <w:rFonts w:ascii="Arial" w:hAnsi="Arial"/>
          <w:u w:val="single"/>
        </w:rPr>
        <w:t>Vous ne pouvez pas choisir un pays dans lequel votre entreprise a son siège</w:t>
      </w:r>
      <w:r>
        <w:rPr>
          <w:rFonts w:ascii="Arial" w:hAnsi="Arial"/>
        </w:rPr>
        <w:t>. Le choix d</w:t>
      </w:r>
      <w:r w:rsidR="00871FB2">
        <w:rPr>
          <w:rFonts w:ascii="Arial" w:hAnsi="Arial"/>
        </w:rPr>
        <w:t>’</w:t>
      </w:r>
      <w:r>
        <w:rPr>
          <w:rFonts w:ascii="Arial" w:hAnsi="Arial"/>
        </w:rPr>
        <w:t xml:space="preserve">un pays ne signifie pas que vous avez ou pourriez effectuer des travaux dans ce pays. </w:t>
      </w:r>
    </w:p>
    <w:p w14:paraId="2CBEAB6B" w14:textId="77777777" w:rsidR="00FE7FC3" w:rsidRDefault="00FE7FC3" w:rsidP="006569B7">
      <w:pPr>
        <w:spacing w:after="0" w:line="240" w:lineRule="auto"/>
        <w:jc w:val="both"/>
        <w:rPr>
          <w:rFonts w:ascii="Arial" w:hAnsi="Arial" w:cs="Arial"/>
          <w:bCs/>
        </w:rPr>
      </w:pPr>
    </w:p>
    <w:tbl>
      <w:tblPr>
        <w:tblStyle w:val="TableGrid"/>
        <w:tblW w:w="0" w:type="auto"/>
        <w:tblInd w:w="715" w:type="dxa"/>
        <w:tblLook w:val="04A0" w:firstRow="1" w:lastRow="0" w:firstColumn="1" w:lastColumn="0" w:noHBand="0" w:noVBand="1"/>
      </w:tblPr>
      <w:tblGrid>
        <w:gridCol w:w="4320"/>
      </w:tblGrid>
      <w:tr w:rsidR="00FE7FC3" w14:paraId="1BC3A794" w14:textId="77777777" w:rsidTr="3AE07867">
        <w:tc>
          <w:tcPr>
            <w:tcW w:w="4320" w:type="dxa"/>
          </w:tcPr>
          <w:p w14:paraId="64B20055" w14:textId="39470F03" w:rsidR="00FE7FC3" w:rsidRDefault="002754B0" w:rsidP="006569B7">
            <w:pPr>
              <w:spacing w:after="0" w:line="240" w:lineRule="auto"/>
              <w:jc w:val="both"/>
              <w:rPr>
                <w:rFonts w:ascii="Arial" w:hAnsi="Arial" w:cs="Arial"/>
                <w:bCs/>
              </w:rPr>
            </w:pPr>
            <w:r>
              <w:rPr>
                <w:rFonts w:ascii="Arial" w:hAnsi="Arial"/>
              </w:rPr>
              <w:t>Pays de référence (n</w:t>
            </w:r>
            <w:r w:rsidR="00871FB2">
              <w:rPr>
                <w:rFonts w:ascii="Arial" w:hAnsi="Arial"/>
              </w:rPr>
              <w:t>’</w:t>
            </w:r>
            <w:r>
              <w:rPr>
                <w:rFonts w:ascii="Arial" w:hAnsi="Arial"/>
              </w:rPr>
              <w:t>en choisissez qu</w:t>
            </w:r>
            <w:r w:rsidR="00871FB2">
              <w:rPr>
                <w:rFonts w:ascii="Arial" w:hAnsi="Arial"/>
              </w:rPr>
              <w:t>’</w:t>
            </w:r>
            <w:r>
              <w:rPr>
                <w:rFonts w:ascii="Arial" w:hAnsi="Arial"/>
              </w:rPr>
              <w:t>un)</w:t>
            </w:r>
          </w:p>
        </w:tc>
      </w:tr>
      <w:tr w:rsidR="00FE7FC3" w14:paraId="7FD6CCBD" w14:textId="77777777" w:rsidTr="3AE07867">
        <w:tc>
          <w:tcPr>
            <w:tcW w:w="4320" w:type="dxa"/>
          </w:tcPr>
          <w:p w14:paraId="3C00A56B" w14:textId="4DED10D0" w:rsidR="00FE7FC3" w:rsidRPr="00542136" w:rsidRDefault="00D97BC7" w:rsidP="006569B7">
            <w:pPr>
              <w:pStyle w:val="ListParagraph"/>
              <w:numPr>
                <w:ilvl w:val="0"/>
                <w:numId w:val="7"/>
              </w:numPr>
              <w:spacing w:after="0" w:line="240" w:lineRule="auto"/>
              <w:jc w:val="both"/>
              <w:rPr>
                <w:rFonts w:ascii="Arial" w:hAnsi="Arial" w:cs="Arial"/>
                <w:bCs/>
              </w:rPr>
            </w:pPr>
            <w:r>
              <w:rPr>
                <w:rFonts w:ascii="Arial" w:hAnsi="Arial"/>
              </w:rPr>
              <w:t xml:space="preserve">Guatemala </w:t>
            </w:r>
          </w:p>
        </w:tc>
      </w:tr>
      <w:tr w:rsidR="004565FE" w14:paraId="1DC54FA5" w14:textId="77777777" w:rsidTr="3AE07867">
        <w:tc>
          <w:tcPr>
            <w:tcW w:w="4320" w:type="dxa"/>
            <w:tcBorders>
              <w:bottom w:val="single" w:sz="4" w:space="0" w:color="auto"/>
            </w:tcBorders>
          </w:tcPr>
          <w:p w14:paraId="0F0068E8" w14:textId="0B0C75A6" w:rsidR="004565FE" w:rsidRPr="00542136" w:rsidRDefault="004565FE" w:rsidP="006569B7">
            <w:pPr>
              <w:pStyle w:val="ListParagraph"/>
              <w:numPr>
                <w:ilvl w:val="0"/>
                <w:numId w:val="7"/>
              </w:numPr>
              <w:spacing w:after="0" w:line="240" w:lineRule="auto"/>
              <w:jc w:val="both"/>
              <w:rPr>
                <w:rFonts w:ascii="Arial" w:hAnsi="Arial" w:cs="Arial"/>
              </w:rPr>
            </w:pPr>
            <w:r>
              <w:rPr>
                <w:rFonts w:ascii="Arial" w:hAnsi="Arial"/>
              </w:rPr>
              <w:t>Colombie</w:t>
            </w:r>
          </w:p>
        </w:tc>
      </w:tr>
      <w:tr w:rsidR="00FE7FC3" w14:paraId="4303AD04" w14:textId="77777777" w:rsidTr="3AE07867">
        <w:tc>
          <w:tcPr>
            <w:tcW w:w="4320" w:type="dxa"/>
            <w:shd w:val="clear" w:color="auto" w:fill="auto"/>
          </w:tcPr>
          <w:p w14:paraId="6E796AD0" w14:textId="4DA5F9F0" w:rsidR="00FE7FC3" w:rsidRPr="00542136" w:rsidRDefault="00812C8C" w:rsidP="006569B7">
            <w:pPr>
              <w:pStyle w:val="ListParagraph"/>
              <w:numPr>
                <w:ilvl w:val="0"/>
                <w:numId w:val="7"/>
              </w:numPr>
              <w:spacing w:after="0" w:line="240" w:lineRule="auto"/>
              <w:jc w:val="both"/>
              <w:rPr>
                <w:rFonts w:ascii="Arial" w:hAnsi="Arial" w:cs="Arial"/>
                <w:bCs/>
              </w:rPr>
            </w:pPr>
            <w:r>
              <w:rPr>
                <w:rFonts w:ascii="Arial" w:hAnsi="Arial"/>
              </w:rPr>
              <w:t>Burkina Faso</w:t>
            </w:r>
          </w:p>
        </w:tc>
      </w:tr>
      <w:tr w:rsidR="004565FE" w14:paraId="251CA7A7" w14:textId="77777777" w:rsidTr="3AE07867">
        <w:tc>
          <w:tcPr>
            <w:tcW w:w="4320" w:type="dxa"/>
            <w:shd w:val="clear" w:color="auto" w:fill="auto"/>
          </w:tcPr>
          <w:p w14:paraId="4DC54CB5" w14:textId="76C6DF6F" w:rsidR="004565FE" w:rsidRDefault="004565FE" w:rsidP="006569B7">
            <w:pPr>
              <w:pStyle w:val="ListParagraph"/>
              <w:numPr>
                <w:ilvl w:val="0"/>
                <w:numId w:val="7"/>
              </w:numPr>
              <w:spacing w:after="0" w:line="240" w:lineRule="auto"/>
              <w:jc w:val="both"/>
              <w:rPr>
                <w:rFonts w:ascii="Arial" w:hAnsi="Arial" w:cs="Arial"/>
                <w:bCs/>
              </w:rPr>
            </w:pPr>
            <w:r>
              <w:rPr>
                <w:rFonts w:ascii="Arial" w:hAnsi="Arial"/>
              </w:rPr>
              <w:t>Sénégal</w:t>
            </w:r>
          </w:p>
        </w:tc>
      </w:tr>
      <w:tr w:rsidR="00FE7FC3" w14:paraId="55806CBA" w14:textId="77777777" w:rsidTr="3AE07867">
        <w:tc>
          <w:tcPr>
            <w:tcW w:w="4320" w:type="dxa"/>
          </w:tcPr>
          <w:p w14:paraId="7F114B3D" w14:textId="22014880" w:rsidR="00FE7FC3" w:rsidRPr="00812C8C" w:rsidRDefault="00812C8C" w:rsidP="006569B7">
            <w:pPr>
              <w:pStyle w:val="ListParagraph"/>
              <w:numPr>
                <w:ilvl w:val="0"/>
                <w:numId w:val="7"/>
              </w:numPr>
              <w:spacing w:after="0" w:line="240" w:lineRule="auto"/>
              <w:jc w:val="both"/>
              <w:rPr>
                <w:rFonts w:ascii="Arial" w:hAnsi="Arial" w:cs="Arial"/>
                <w:bCs/>
              </w:rPr>
            </w:pPr>
            <w:r>
              <w:rPr>
                <w:rFonts w:ascii="Arial" w:hAnsi="Arial"/>
              </w:rPr>
              <w:t>Ouganda</w:t>
            </w:r>
          </w:p>
        </w:tc>
      </w:tr>
      <w:tr w:rsidR="004565FE" w14:paraId="5C737B76" w14:textId="77777777" w:rsidTr="3AE07867">
        <w:tc>
          <w:tcPr>
            <w:tcW w:w="4320" w:type="dxa"/>
            <w:tcBorders>
              <w:bottom w:val="single" w:sz="4" w:space="0" w:color="auto"/>
            </w:tcBorders>
          </w:tcPr>
          <w:p w14:paraId="4E6038E5" w14:textId="78F8E35A" w:rsidR="004565FE" w:rsidRDefault="004565FE" w:rsidP="006569B7">
            <w:pPr>
              <w:pStyle w:val="ListParagraph"/>
              <w:numPr>
                <w:ilvl w:val="0"/>
                <w:numId w:val="7"/>
              </w:numPr>
              <w:spacing w:after="0" w:line="240" w:lineRule="auto"/>
              <w:jc w:val="both"/>
              <w:rPr>
                <w:rFonts w:ascii="Arial" w:hAnsi="Arial" w:cs="Arial"/>
                <w:bCs/>
              </w:rPr>
            </w:pPr>
            <w:r>
              <w:rPr>
                <w:rFonts w:ascii="Arial" w:hAnsi="Arial"/>
              </w:rPr>
              <w:t>Éthiopie</w:t>
            </w:r>
          </w:p>
        </w:tc>
      </w:tr>
      <w:tr w:rsidR="00FE7FC3" w14:paraId="0CC2EE3B" w14:textId="77777777" w:rsidTr="3AE07867">
        <w:tc>
          <w:tcPr>
            <w:tcW w:w="4320" w:type="dxa"/>
            <w:shd w:val="clear" w:color="auto" w:fill="auto"/>
          </w:tcPr>
          <w:p w14:paraId="3AD8084B" w14:textId="1AE788CB" w:rsidR="00FE7FC3" w:rsidRPr="00CF40CC" w:rsidRDefault="00CF40CC" w:rsidP="006569B7">
            <w:pPr>
              <w:pStyle w:val="ListParagraph"/>
              <w:numPr>
                <w:ilvl w:val="0"/>
                <w:numId w:val="7"/>
              </w:numPr>
              <w:spacing w:after="0" w:line="240" w:lineRule="auto"/>
              <w:jc w:val="both"/>
              <w:rPr>
                <w:rFonts w:ascii="Arial" w:hAnsi="Arial" w:cs="Arial"/>
                <w:bCs/>
              </w:rPr>
            </w:pPr>
            <w:r>
              <w:rPr>
                <w:rFonts w:ascii="Arial" w:hAnsi="Arial"/>
              </w:rPr>
              <w:t>Irak</w:t>
            </w:r>
          </w:p>
        </w:tc>
      </w:tr>
      <w:tr w:rsidR="004565FE" w14:paraId="5851570C" w14:textId="77777777" w:rsidTr="3AE07867">
        <w:tc>
          <w:tcPr>
            <w:tcW w:w="4320" w:type="dxa"/>
            <w:shd w:val="clear" w:color="auto" w:fill="auto"/>
          </w:tcPr>
          <w:p w14:paraId="79F57333" w14:textId="72728D04" w:rsidR="004565FE" w:rsidRDefault="004565FE" w:rsidP="006569B7">
            <w:pPr>
              <w:pStyle w:val="ListParagraph"/>
              <w:numPr>
                <w:ilvl w:val="0"/>
                <w:numId w:val="7"/>
              </w:numPr>
              <w:spacing w:after="0" w:line="240" w:lineRule="auto"/>
              <w:jc w:val="both"/>
              <w:rPr>
                <w:rFonts w:ascii="Arial" w:hAnsi="Arial" w:cs="Arial"/>
                <w:bCs/>
              </w:rPr>
            </w:pPr>
            <w:r>
              <w:rPr>
                <w:rFonts w:ascii="Arial" w:hAnsi="Arial"/>
              </w:rPr>
              <w:t xml:space="preserve">Afghanistan </w:t>
            </w:r>
          </w:p>
        </w:tc>
      </w:tr>
      <w:tr w:rsidR="00FE7FC3" w14:paraId="24C901C0" w14:textId="77777777" w:rsidTr="3AE07867">
        <w:tc>
          <w:tcPr>
            <w:tcW w:w="4320" w:type="dxa"/>
          </w:tcPr>
          <w:p w14:paraId="2D39FDC4" w14:textId="33FB434A" w:rsidR="00FE7FC3" w:rsidRPr="00CF40CC" w:rsidRDefault="00B759C0" w:rsidP="006569B7">
            <w:pPr>
              <w:pStyle w:val="ListParagraph"/>
              <w:numPr>
                <w:ilvl w:val="0"/>
                <w:numId w:val="7"/>
              </w:numPr>
              <w:spacing w:after="0" w:line="240" w:lineRule="auto"/>
              <w:jc w:val="both"/>
              <w:rPr>
                <w:rFonts w:ascii="Arial" w:hAnsi="Arial" w:cs="Arial"/>
                <w:bCs/>
              </w:rPr>
            </w:pPr>
            <w:r>
              <w:rPr>
                <w:rFonts w:ascii="Arial" w:hAnsi="Arial"/>
              </w:rPr>
              <w:t>Népal</w:t>
            </w:r>
          </w:p>
        </w:tc>
      </w:tr>
      <w:tr w:rsidR="004565FE" w14:paraId="0B886C92" w14:textId="77777777" w:rsidTr="3AE07867">
        <w:tc>
          <w:tcPr>
            <w:tcW w:w="4320" w:type="dxa"/>
          </w:tcPr>
          <w:p w14:paraId="146BEDA4" w14:textId="1E5CBC15" w:rsidR="004565FE" w:rsidRDefault="002754B0" w:rsidP="006569B7">
            <w:pPr>
              <w:pStyle w:val="ListParagraph"/>
              <w:numPr>
                <w:ilvl w:val="0"/>
                <w:numId w:val="7"/>
              </w:numPr>
              <w:spacing w:after="0" w:line="240" w:lineRule="auto"/>
              <w:jc w:val="both"/>
              <w:rPr>
                <w:rFonts w:ascii="Arial" w:hAnsi="Arial" w:cs="Arial"/>
                <w:bCs/>
              </w:rPr>
            </w:pPr>
            <w:r>
              <w:rPr>
                <w:rFonts w:ascii="Arial" w:hAnsi="Arial"/>
              </w:rPr>
              <w:t>Indonésie</w:t>
            </w:r>
          </w:p>
        </w:tc>
      </w:tr>
    </w:tbl>
    <w:p w14:paraId="1CBE7DCC" w14:textId="0440CC4D" w:rsidR="0011252D" w:rsidRDefault="0011252D" w:rsidP="006569B7">
      <w:pPr>
        <w:spacing w:before="240" w:line="240" w:lineRule="auto"/>
        <w:jc w:val="both"/>
        <w:rPr>
          <w:rFonts w:ascii="Arial" w:hAnsi="Arial" w:cs="Arial"/>
          <w:b/>
          <w:color w:val="808080" w:themeColor="background1" w:themeShade="80"/>
        </w:rPr>
      </w:pPr>
      <w:r>
        <w:rPr>
          <w:rFonts w:ascii="Arial" w:hAnsi="Arial"/>
          <w:b/>
          <w:color w:val="808080" w:themeColor="background1" w:themeShade="80"/>
        </w:rPr>
        <w:t xml:space="preserve">10. Calendrier </w:t>
      </w:r>
    </w:p>
    <w:p w14:paraId="6F7BCB2B" w14:textId="4A8401A4" w:rsidR="0011252D" w:rsidRPr="0079264E" w:rsidRDefault="0011252D" w:rsidP="006569B7">
      <w:pPr>
        <w:spacing w:line="240" w:lineRule="auto"/>
        <w:jc w:val="both"/>
        <w:rPr>
          <w:rFonts w:ascii="Arial" w:hAnsi="Arial" w:cs="Arial"/>
          <w:bCs/>
        </w:rPr>
      </w:pPr>
      <w:r>
        <w:rPr>
          <w:rFonts w:ascii="Arial" w:hAnsi="Arial"/>
        </w:rPr>
        <w:t>L’entreprise doit proposer un calendrier de haut niveau pour mener à bien cette évaluation et soumettre le rapport final au plus tard le 31</w:t>
      </w:r>
      <w:r w:rsidR="00871FB2">
        <w:rPr>
          <w:rFonts w:ascii="Arial" w:hAnsi="Arial"/>
        </w:rPr>
        <w:t> </w:t>
      </w:r>
      <w:r>
        <w:rPr>
          <w:rFonts w:ascii="Arial" w:hAnsi="Arial"/>
        </w:rPr>
        <w:t>septembre 2026. Le calendrier proposé doit être cohérent avec les ressources allouées dans les sections techniques et les lettres d</w:t>
      </w:r>
      <w:r w:rsidR="00871FB2">
        <w:rPr>
          <w:rFonts w:ascii="Arial" w:hAnsi="Arial"/>
        </w:rPr>
        <w:t>’</w:t>
      </w:r>
      <w:r>
        <w:rPr>
          <w:rFonts w:ascii="Arial" w:hAnsi="Arial"/>
        </w:rPr>
        <w:t xml:space="preserve">intention des propositions. </w:t>
      </w:r>
    </w:p>
    <w:p w14:paraId="5B983E3A" w14:textId="5588C376" w:rsidR="00EA5E86" w:rsidRPr="00056B16" w:rsidRDefault="00EA5E86" w:rsidP="006569B7">
      <w:pPr>
        <w:spacing w:line="240" w:lineRule="auto"/>
        <w:jc w:val="both"/>
        <w:rPr>
          <w:rFonts w:ascii="Arial" w:hAnsi="Arial" w:cs="Arial"/>
          <w:b/>
          <w:color w:val="808080" w:themeColor="background1" w:themeShade="80"/>
        </w:rPr>
      </w:pPr>
      <w:r>
        <w:rPr>
          <w:rFonts w:ascii="Arial" w:hAnsi="Arial"/>
          <w:b/>
          <w:color w:val="808080" w:themeColor="background1" w:themeShade="80"/>
        </w:rPr>
        <w:t>11. Livrables</w:t>
      </w:r>
    </w:p>
    <w:p w14:paraId="5F89173E" w14:textId="660976D7" w:rsidR="00A83BF5" w:rsidRDefault="00A83BF5" w:rsidP="006569B7">
      <w:pPr>
        <w:pStyle w:val="ListParagraph"/>
        <w:widowControl w:val="0"/>
        <w:numPr>
          <w:ilvl w:val="0"/>
          <w:numId w:val="8"/>
        </w:numPr>
        <w:spacing w:line="240" w:lineRule="auto"/>
        <w:jc w:val="both"/>
        <w:rPr>
          <w:rFonts w:ascii="Arial" w:hAnsi="Arial" w:cs="Arial"/>
        </w:rPr>
      </w:pPr>
      <w:r>
        <w:rPr>
          <w:rFonts w:ascii="Arial" w:hAnsi="Arial"/>
        </w:rPr>
        <w:t xml:space="preserve">Rapport de démarrage </w:t>
      </w:r>
    </w:p>
    <w:p w14:paraId="65AACEE5" w14:textId="3AC3E25D" w:rsidR="00765C0D" w:rsidRDefault="00765C0D" w:rsidP="006569B7">
      <w:pPr>
        <w:pStyle w:val="ListParagraph"/>
        <w:widowControl w:val="0"/>
        <w:numPr>
          <w:ilvl w:val="0"/>
          <w:numId w:val="8"/>
        </w:numPr>
        <w:spacing w:line="240" w:lineRule="auto"/>
        <w:jc w:val="both"/>
        <w:rPr>
          <w:rFonts w:ascii="Arial" w:hAnsi="Arial" w:cs="Arial"/>
        </w:rPr>
      </w:pPr>
      <w:r>
        <w:rPr>
          <w:rFonts w:ascii="Arial" w:hAnsi="Arial"/>
        </w:rPr>
        <w:t>Protocole d</w:t>
      </w:r>
      <w:r w:rsidR="00871FB2">
        <w:rPr>
          <w:rFonts w:ascii="Arial" w:hAnsi="Arial"/>
        </w:rPr>
        <w:t>’</w:t>
      </w:r>
      <w:r>
        <w:rPr>
          <w:rFonts w:ascii="Arial" w:hAnsi="Arial"/>
        </w:rPr>
        <w:t>évaluation de l</w:t>
      </w:r>
      <w:r w:rsidR="00871FB2">
        <w:rPr>
          <w:rFonts w:ascii="Arial" w:hAnsi="Arial"/>
        </w:rPr>
        <w:t>’</w:t>
      </w:r>
      <w:r>
        <w:rPr>
          <w:rFonts w:ascii="Arial" w:hAnsi="Arial"/>
        </w:rPr>
        <w:t>impact</w:t>
      </w:r>
    </w:p>
    <w:p w14:paraId="6900449E" w14:textId="07CFDCCF" w:rsidR="0067487E" w:rsidRDefault="0067487E" w:rsidP="006569B7">
      <w:pPr>
        <w:pStyle w:val="ListParagraph"/>
        <w:widowControl w:val="0"/>
        <w:numPr>
          <w:ilvl w:val="1"/>
          <w:numId w:val="8"/>
        </w:numPr>
        <w:spacing w:line="240" w:lineRule="auto"/>
        <w:jc w:val="both"/>
        <w:rPr>
          <w:rFonts w:ascii="Arial" w:hAnsi="Arial" w:cs="Arial"/>
        </w:rPr>
      </w:pPr>
      <w:r>
        <w:rPr>
          <w:rFonts w:ascii="Arial" w:hAnsi="Arial"/>
        </w:rPr>
        <w:t>Plan d</w:t>
      </w:r>
      <w:r w:rsidR="00871FB2">
        <w:rPr>
          <w:rFonts w:ascii="Arial" w:hAnsi="Arial"/>
        </w:rPr>
        <w:t>’</w:t>
      </w:r>
      <w:r>
        <w:rPr>
          <w:rFonts w:ascii="Arial" w:hAnsi="Arial"/>
        </w:rPr>
        <w:t>analyse</w:t>
      </w:r>
    </w:p>
    <w:p w14:paraId="294D83C9" w14:textId="4C56AE91" w:rsidR="00A83BF5" w:rsidRPr="0067487E" w:rsidRDefault="00A83BF5" w:rsidP="006569B7">
      <w:pPr>
        <w:pStyle w:val="ListParagraph"/>
        <w:widowControl w:val="0"/>
        <w:numPr>
          <w:ilvl w:val="1"/>
          <w:numId w:val="8"/>
        </w:numPr>
        <w:spacing w:line="240" w:lineRule="auto"/>
        <w:jc w:val="both"/>
        <w:rPr>
          <w:rFonts w:ascii="Arial" w:hAnsi="Arial" w:cs="Arial"/>
        </w:rPr>
      </w:pPr>
      <w:r>
        <w:rPr>
          <w:rFonts w:ascii="Arial" w:hAnsi="Arial"/>
        </w:rPr>
        <w:t>Instruments d</w:t>
      </w:r>
      <w:r w:rsidR="00871FB2">
        <w:rPr>
          <w:rFonts w:ascii="Arial" w:hAnsi="Arial"/>
        </w:rPr>
        <w:t>’</w:t>
      </w:r>
      <w:r>
        <w:rPr>
          <w:rFonts w:ascii="Arial" w:hAnsi="Arial"/>
        </w:rPr>
        <w:t xml:space="preserve">évaluation </w:t>
      </w:r>
    </w:p>
    <w:p w14:paraId="1DC57CD4" w14:textId="58E98E13" w:rsidR="00A83BF5" w:rsidRPr="005F3D25" w:rsidRDefault="00A83BF5" w:rsidP="006569B7">
      <w:pPr>
        <w:pStyle w:val="ListParagraph"/>
        <w:widowControl w:val="0"/>
        <w:numPr>
          <w:ilvl w:val="0"/>
          <w:numId w:val="8"/>
        </w:numPr>
        <w:spacing w:line="240" w:lineRule="auto"/>
        <w:jc w:val="both"/>
        <w:rPr>
          <w:rFonts w:ascii="Arial" w:hAnsi="Arial" w:cs="Arial"/>
        </w:rPr>
      </w:pPr>
      <w:r>
        <w:rPr>
          <w:rFonts w:ascii="Arial" w:hAnsi="Arial"/>
        </w:rPr>
        <w:t xml:space="preserve">Les ensembles de données brutes et analytiques sont correctement documentés et </w:t>
      </w:r>
      <w:r>
        <w:rPr>
          <w:rFonts w:ascii="Arial" w:hAnsi="Arial"/>
        </w:rPr>
        <w:lastRenderedPageBreak/>
        <w:t xml:space="preserve">protégés. </w:t>
      </w:r>
    </w:p>
    <w:p w14:paraId="3C529D71" w14:textId="3473C173" w:rsidR="00A83BF5" w:rsidRPr="005F3D25" w:rsidRDefault="00A83BF5" w:rsidP="006569B7">
      <w:pPr>
        <w:pStyle w:val="ListParagraph"/>
        <w:widowControl w:val="0"/>
        <w:numPr>
          <w:ilvl w:val="0"/>
          <w:numId w:val="8"/>
        </w:numPr>
        <w:spacing w:line="240" w:lineRule="auto"/>
        <w:jc w:val="both"/>
        <w:rPr>
          <w:rFonts w:ascii="Arial" w:hAnsi="Arial" w:cs="Arial"/>
        </w:rPr>
      </w:pPr>
      <w:r>
        <w:rPr>
          <w:rFonts w:ascii="Arial" w:hAnsi="Arial"/>
        </w:rPr>
        <w:t>Rapport</w:t>
      </w:r>
      <w:r w:rsidR="00871FB2">
        <w:rPr>
          <w:rFonts w:ascii="Arial" w:hAnsi="Arial"/>
        </w:rPr>
        <w:t> </w:t>
      </w:r>
      <w:r>
        <w:rPr>
          <w:rFonts w:ascii="Arial" w:hAnsi="Arial"/>
        </w:rPr>
        <w:t xml:space="preserve">provisoire1 </w:t>
      </w:r>
    </w:p>
    <w:p w14:paraId="275127E1" w14:textId="57D12B46" w:rsidR="00C27F4D" w:rsidRDefault="00C27F4D" w:rsidP="006569B7">
      <w:pPr>
        <w:pStyle w:val="ListParagraph"/>
        <w:widowControl w:val="0"/>
        <w:numPr>
          <w:ilvl w:val="0"/>
          <w:numId w:val="8"/>
        </w:numPr>
        <w:spacing w:line="240" w:lineRule="auto"/>
        <w:jc w:val="both"/>
        <w:rPr>
          <w:rFonts w:ascii="Arial" w:hAnsi="Arial" w:cs="Arial"/>
        </w:rPr>
      </w:pPr>
      <w:r>
        <w:rPr>
          <w:rFonts w:ascii="Arial" w:hAnsi="Arial"/>
        </w:rPr>
        <w:t>Projet de rapport</w:t>
      </w:r>
      <w:r w:rsidR="00871FB2">
        <w:rPr>
          <w:rFonts w:ascii="Arial" w:hAnsi="Arial"/>
        </w:rPr>
        <w:t> </w:t>
      </w:r>
      <w:r>
        <w:rPr>
          <w:rFonts w:ascii="Arial" w:hAnsi="Arial"/>
        </w:rPr>
        <w:t>2</w:t>
      </w:r>
    </w:p>
    <w:p w14:paraId="486EDC61" w14:textId="39B67271" w:rsidR="00A83BF5" w:rsidRPr="005F3D25" w:rsidRDefault="00A83BF5" w:rsidP="006569B7">
      <w:pPr>
        <w:pStyle w:val="ListParagraph"/>
        <w:widowControl w:val="0"/>
        <w:numPr>
          <w:ilvl w:val="0"/>
          <w:numId w:val="8"/>
        </w:numPr>
        <w:spacing w:line="240" w:lineRule="auto"/>
        <w:jc w:val="both"/>
        <w:rPr>
          <w:rFonts w:ascii="Arial" w:hAnsi="Arial" w:cs="Arial"/>
        </w:rPr>
      </w:pPr>
      <w:r>
        <w:rPr>
          <w:rFonts w:ascii="Arial" w:hAnsi="Arial"/>
        </w:rPr>
        <w:t>Rapport final</w:t>
      </w:r>
    </w:p>
    <w:p w14:paraId="12F5BE49" w14:textId="5E6167A4" w:rsidR="002F13D0" w:rsidRPr="00A83BF5" w:rsidRDefault="00A83BF5" w:rsidP="006569B7">
      <w:pPr>
        <w:widowControl w:val="0"/>
        <w:spacing w:line="240" w:lineRule="auto"/>
        <w:jc w:val="both"/>
        <w:rPr>
          <w:rFonts w:ascii="Arial" w:hAnsi="Arial" w:cs="Arial"/>
          <w:highlight w:val="yellow"/>
        </w:rPr>
      </w:pPr>
      <w:r>
        <w:rPr>
          <w:rFonts w:ascii="Wingdings" w:hAnsi="Wingdings"/>
        </w:rPr>
        <w:t>è</w:t>
      </w:r>
      <w:r>
        <w:rPr>
          <w:rFonts w:ascii="Arial" w:hAnsi="Arial"/>
        </w:rPr>
        <w:t xml:space="preserve">Les rapports peuvent être rédigés en anglais, en français, en espagnol, en arabe ou en russe. La traduction en anglais sera prise en charge par Mercy Corps. Veillez à indiquer, </w:t>
      </w:r>
      <w:r>
        <w:rPr>
          <w:rFonts w:ascii="Arial" w:hAnsi="Arial"/>
          <w:u w:val="single"/>
        </w:rPr>
        <w:t>dans la section</w:t>
      </w:r>
      <w:r w:rsidR="00871FB2">
        <w:rPr>
          <w:rFonts w:ascii="Arial" w:hAnsi="Arial"/>
          <w:u w:val="single"/>
        </w:rPr>
        <w:t> </w:t>
      </w:r>
      <w:r>
        <w:rPr>
          <w:rFonts w:ascii="Arial" w:hAnsi="Arial"/>
          <w:u w:val="single"/>
        </w:rPr>
        <w:t>II (la proposition technique), dans laquelle de ces langues votre société soumettra les rapports initiaux, préliminaires et finaux ainsi que les instruments d</w:t>
      </w:r>
      <w:r w:rsidR="00871FB2">
        <w:rPr>
          <w:rFonts w:ascii="Arial" w:hAnsi="Arial"/>
          <w:u w:val="single"/>
        </w:rPr>
        <w:t>’</w:t>
      </w:r>
      <w:r>
        <w:rPr>
          <w:rFonts w:ascii="Arial" w:hAnsi="Arial"/>
          <w:u w:val="single"/>
        </w:rPr>
        <w:t>évaluation.</w:t>
      </w:r>
      <w:r>
        <w:rPr>
          <w:rFonts w:ascii="Arial" w:hAnsi="Arial"/>
        </w:rPr>
        <w:t xml:space="preserve"> </w:t>
      </w:r>
    </w:p>
    <w:p w14:paraId="2CFCDE9B" w14:textId="78117178" w:rsidR="00AF7340" w:rsidRPr="00357301" w:rsidRDefault="00553640" w:rsidP="006569B7">
      <w:pPr>
        <w:widowControl w:val="0"/>
        <w:spacing w:line="240" w:lineRule="auto"/>
        <w:jc w:val="both"/>
        <w:rPr>
          <w:rFonts w:ascii="Arial" w:hAnsi="Arial" w:cs="Arial"/>
        </w:rPr>
      </w:pPr>
      <w:r>
        <w:rPr>
          <w:rFonts w:ascii="Wingdings" w:hAnsi="Wingdings"/>
        </w:rPr>
        <w:t>è</w:t>
      </w:r>
      <w:r>
        <w:rPr>
          <w:rFonts w:ascii="Arial" w:hAnsi="Arial"/>
        </w:rPr>
        <w:t>Mercy Corps fournira un retour d</w:t>
      </w:r>
      <w:r w:rsidR="00871FB2">
        <w:rPr>
          <w:rFonts w:ascii="Arial" w:hAnsi="Arial"/>
        </w:rPr>
        <w:t>’</w:t>
      </w:r>
      <w:r>
        <w:rPr>
          <w:rFonts w:ascii="Arial" w:hAnsi="Arial"/>
        </w:rPr>
        <w:t>information consolidé sur le projet de rapport</w:t>
      </w:r>
      <w:r w:rsidR="00871FB2">
        <w:rPr>
          <w:rFonts w:ascii="Arial" w:hAnsi="Arial"/>
        </w:rPr>
        <w:t> </w:t>
      </w:r>
      <w:r>
        <w:rPr>
          <w:rFonts w:ascii="Arial" w:hAnsi="Arial"/>
        </w:rPr>
        <w:t>1 à condition que ce rapport soit complet et soumis comme s</w:t>
      </w:r>
      <w:r w:rsidR="00871FB2">
        <w:rPr>
          <w:rFonts w:ascii="Arial" w:hAnsi="Arial"/>
        </w:rPr>
        <w:t>’</w:t>
      </w:r>
      <w:r>
        <w:rPr>
          <w:rFonts w:ascii="Arial" w:hAnsi="Arial"/>
        </w:rPr>
        <w:t>il s</w:t>
      </w:r>
      <w:r w:rsidR="00871FB2">
        <w:rPr>
          <w:rFonts w:ascii="Arial" w:hAnsi="Arial"/>
        </w:rPr>
        <w:t>’</w:t>
      </w:r>
      <w:r>
        <w:rPr>
          <w:rFonts w:ascii="Arial" w:hAnsi="Arial"/>
        </w:rPr>
        <w:t>agissait d</w:t>
      </w:r>
      <w:r w:rsidR="00871FB2">
        <w:rPr>
          <w:rFonts w:ascii="Arial" w:hAnsi="Arial"/>
        </w:rPr>
        <w:t>’</w:t>
      </w:r>
      <w:r>
        <w:rPr>
          <w:rFonts w:ascii="Arial" w:hAnsi="Arial"/>
        </w:rPr>
        <w:t>un rapport final (c</w:t>
      </w:r>
      <w:r w:rsidR="00871FB2">
        <w:rPr>
          <w:rFonts w:ascii="Arial" w:hAnsi="Arial"/>
        </w:rPr>
        <w:t>’</w:t>
      </w:r>
      <w:r>
        <w:rPr>
          <w:rFonts w:ascii="Arial" w:hAnsi="Arial"/>
        </w:rPr>
        <w:t>est-à-dire qu</w:t>
      </w:r>
      <w:r w:rsidR="00871FB2">
        <w:rPr>
          <w:rFonts w:ascii="Arial" w:hAnsi="Arial"/>
        </w:rPr>
        <w:t>’</w:t>
      </w:r>
      <w:r>
        <w:rPr>
          <w:rFonts w:ascii="Arial" w:hAnsi="Arial"/>
        </w:rPr>
        <w:t>il ne s</w:t>
      </w:r>
      <w:r w:rsidR="00871FB2">
        <w:rPr>
          <w:rFonts w:ascii="Arial" w:hAnsi="Arial"/>
        </w:rPr>
        <w:t>’</w:t>
      </w:r>
      <w:r>
        <w:rPr>
          <w:rFonts w:ascii="Arial" w:hAnsi="Arial"/>
        </w:rPr>
        <w:t>agisse pas d</w:t>
      </w:r>
      <w:r w:rsidR="00871FB2">
        <w:rPr>
          <w:rFonts w:ascii="Arial" w:hAnsi="Arial"/>
        </w:rPr>
        <w:t>’</w:t>
      </w:r>
      <w:r>
        <w:rPr>
          <w:rFonts w:ascii="Arial" w:hAnsi="Arial"/>
        </w:rPr>
        <w:t>un «</w:t>
      </w:r>
      <w:r w:rsidR="00871FB2">
        <w:rPr>
          <w:rFonts w:ascii="Arial" w:hAnsi="Arial"/>
        </w:rPr>
        <w:t> </w:t>
      </w:r>
      <w:r>
        <w:rPr>
          <w:rFonts w:ascii="Arial" w:hAnsi="Arial"/>
        </w:rPr>
        <w:t>brouillon</w:t>
      </w:r>
      <w:r w:rsidR="00871FB2">
        <w:rPr>
          <w:rFonts w:ascii="Arial" w:hAnsi="Arial"/>
        </w:rPr>
        <w:t> </w:t>
      </w:r>
      <w:r>
        <w:rPr>
          <w:rFonts w:ascii="Arial" w:hAnsi="Arial"/>
        </w:rPr>
        <w:t>» et qu</w:t>
      </w:r>
      <w:r w:rsidR="00871FB2">
        <w:rPr>
          <w:rFonts w:ascii="Arial" w:hAnsi="Arial"/>
        </w:rPr>
        <w:t>’</w:t>
      </w:r>
      <w:r>
        <w:rPr>
          <w:rFonts w:ascii="Arial" w:hAnsi="Arial"/>
        </w:rPr>
        <w:t>il ne manque aucune section, à l</w:t>
      </w:r>
      <w:r w:rsidR="00871FB2">
        <w:rPr>
          <w:rFonts w:ascii="Arial" w:hAnsi="Arial"/>
        </w:rPr>
        <w:t>’</w:t>
      </w:r>
      <w:r>
        <w:rPr>
          <w:rFonts w:ascii="Arial" w:hAnsi="Arial"/>
        </w:rPr>
        <w:t>exception des annexes). Le projet</w:t>
      </w:r>
      <w:r w:rsidR="00871FB2">
        <w:rPr>
          <w:rFonts w:ascii="Arial" w:hAnsi="Arial"/>
        </w:rPr>
        <w:t> </w:t>
      </w:r>
      <w:r>
        <w:rPr>
          <w:rFonts w:ascii="Arial" w:hAnsi="Arial"/>
        </w:rPr>
        <w:t>2 aura pris en compte les commentaires de Mercy Corps et Mercy Corps fournira alors ses commentaires consolidés finaux permettant à l</w:t>
      </w:r>
      <w:r w:rsidR="00871FB2">
        <w:rPr>
          <w:rFonts w:ascii="Arial" w:hAnsi="Arial"/>
        </w:rPr>
        <w:t>’</w:t>
      </w:r>
      <w:r>
        <w:rPr>
          <w:rFonts w:ascii="Arial" w:hAnsi="Arial"/>
        </w:rPr>
        <w:t>entreprise de soumettre le rapport final. Il n</w:t>
      </w:r>
      <w:r w:rsidR="00871FB2">
        <w:rPr>
          <w:rFonts w:ascii="Arial" w:hAnsi="Arial"/>
        </w:rPr>
        <w:t>’</w:t>
      </w:r>
      <w:r>
        <w:rPr>
          <w:rFonts w:ascii="Arial" w:hAnsi="Arial"/>
        </w:rPr>
        <w:t xml:space="preserve">y a donc que deux séries de révisions du rapport. </w:t>
      </w:r>
    </w:p>
    <w:p w14:paraId="22C0A1EF" w14:textId="3D875C34" w:rsidR="00DE1696" w:rsidRPr="00056B16" w:rsidRDefault="00DE1696" w:rsidP="006569B7">
      <w:pPr>
        <w:spacing w:line="240" w:lineRule="auto"/>
        <w:jc w:val="both"/>
        <w:rPr>
          <w:rFonts w:ascii="Arial" w:hAnsi="Arial" w:cs="Arial"/>
          <w:b/>
          <w:color w:val="808080" w:themeColor="background1" w:themeShade="80"/>
        </w:rPr>
      </w:pPr>
      <w:r>
        <w:rPr>
          <w:rFonts w:ascii="Arial" w:hAnsi="Arial"/>
          <w:b/>
          <w:color w:val="808080" w:themeColor="background1" w:themeShade="80"/>
        </w:rPr>
        <w:t xml:space="preserve">11. Structure indicative du rapport final </w:t>
      </w:r>
    </w:p>
    <w:p w14:paraId="5F7D4C4D" w14:textId="0BA3CB83" w:rsidR="0067487E" w:rsidRDefault="0067487E" w:rsidP="006569B7">
      <w:pPr>
        <w:pStyle w:val="ListParagraph"/>
        <w:widowControl w:val="0"/>
        <w:numPr>
          <w:ilvl w:val="0"/>
          <w:numId w:val="15"/>
        </w:numPr>
        <w:spacing w:line="240" w:lineRule="auto"/>
        <w:jc w:val="both"/>
        <w:rPr>
          <w:rFonts w:ascii="Arial" w:hAnsi="Arial" w:cs="Arial"/>
        </w:rPr>
      </w:pPr>
      <w:r>
        <w:rPr>
          <w:rFonts w:ascii="Arial" w:hAnsi="Arial"/>
        </w:rPr>
        <w:t>Page de couverture</w:t>
      </w:r>
    </w:p>
    <w:p w14:paraId="7178BEEB" w14:textId="6C82582B" w:rsidR="0067487E" w:rsidRDefault="00DE1696" w:rsidP="006569B7">
      <w:pPr>
        <w:pStyle w:val="ListParagraph"/>
        <w:widowControl w:val="0"/>
        <w:numPr>
          <w:ilvl w:val="0"/>
          <w:numId w:val="15"/>
        </w:numPr>
        <w:spacing w:line="240" w:lineRule="auto"/>
        <w:jc w:val="both"/>
        <w:rPr>
          <w:rFonts w:ascii="Arial" w:hAnsi="Arial" w:cs="Arial"/>
        </w:rPr>
      </w:pPr>
      <w:r>
        <w:rPr>
          <w:rFonts w:ascii="Arial" w:hAnsi="Arial"/>
        </w:rPr>
        <w:t>Résumé</w:t>
      </w:r>
    </w:p>
    <w:p w14:paraId="4BB4A250" w14:textId="6414188A" w:rsidR="0067487E" w:rsidRDefault="00DE1696" w:rsidP="006569B7">
      <w:pPr>
        <w:pStyle w:val="ListParagraph"/>
        <w:widowControl w:val="0"/>
        <w:numPr>
          <w:ilvl w:val="0"/>
          <w:numId w:val="15"/>
        </w:numPr>
        <w:spacing w:line="240" w:lineRule="auto"/>
        <w:jc w:val="both"/>
        <w:rPr>
          <w:rFonts w:ascii="Arial" w:hAnsi="Arial" w:cs="Arial"/>
        </w:rPr>
      </w:pPr>
      <w:r>
        <w:rPr>
          <w:rFonts w:ascii="Arial" w:hAnsi="Arial"/>
        </w:rPr>
        <w:t>Introduction</w:t>
      </w:r>
    </w:p>
    <w:p w14:paraId="4B5FF03D" w14:textId="77777777" w:rsidR="0067487E" w:rsidRDefault="0067487E" w:rsidP="006569B7">
      <w:pPr>
        <w:pStyle w:val="ListParagraph"/>
        <w:widowControl w:val="0"/>
        <w:numPr>
          <w:ilvl w:val="0"/>
          <w:numId w:val="15"/>
        </w:numPr>
        <w:spacing w:line="240" w:lineRule="auto"/>
        <w:jc w:val="both"/>
        <w:rPr>
          <w:rFonts w:ascii="Arial" w:hAnsi="Arial" w:cs="Arial"/>
        </w:rPr>
      </w:pPr>
      <w:r>
        <w:rPr>
          <w:rFonts w:ascii="Arial" w:hAnsi="Arial"/>
        </w:rPr>
        <w:t>Contexte</w:t>
      </w:r>
    </w:p>
    <w:p w14:paraId="2B5C3571" w14:textId="77777777" w:rsidR="0067487E" w:rsidRDefault="00DE1696" w:rsidP="006569B7">
      <w:pPr>
        <w:pStyle w:val="ListParagraph"/>
        <w:widowControl w:val="0"/>
        <w:numPr>
          <w:ilvl w:val="1"/>
          <w:numId w:val="15"/>
        </w:numPr>
        <w:spacing w:line="240" w:lineRule="auto"/>
        <w:jc w:val="both"/>
        <w:rPr>
          <w:rFonts w:ascii="Arial" w:hAnsi="Arial" w:cs="Arial"/>
        </w:rPr>
      </w:pPr>
      <w:r>
        <w:rPr>
          <w:rFonts w:ascii="Arial" w:hAnsi="Arial"/>
        </w:rPr>
        <w:t>Brève description du pays/de la région dans lequel/laquelle le programme est mis en œuvre</w:t>
      </w:r>
    </w:p>
    <w:p w14:paraId="35A857C0" w14:textId="77777777" w:rsidR="0067487E" w:rsidRDefault="00DE1696" w:rsidP="006569B7">
      <w:pPr>
        <w:pStyle w:val="ListParagraph"/>
        <w:widowControl w:val="0"/>
        <w:numPr>
          <w:ilvl w:val="1"/>
          <w:numId w:val="15"/>
        </w:numPr>
        <w:spacing w:line="240" w:lineRule="auto"/>
        <w:jc w:val="both"/>
        <w:rPr>
          <w:rFonts w:ascii="Arial" w:hAnsi="Arial" w:cs="Arial"/>
        </w:rPr>
      </w:pPr>
      <w:r>
        <w:rPr>
          <w:rFonts w:ascii="Arial" w:hAnsi="Arial"/>
        </w:rPr>
        <w:t xml:space="preserve">Présentation du modèle logique du programme </w:t>
      </w:r>
    </w:p>
    <w:p w14:paraId="6C4D26D0" w14:textId="503B0ABE" w:rsidR="0067487E" w:rsidRDefault="00DE1696" w:rsidP="006569B7">
      <w:pPr>
        <w:pStyle w:val="ListParagraph"/>
        <w:widowControl w:val="0"/>
        <w:numPr>
          <w:ilvl w:val="1"/>
          <w:numId w:val="15"/>
        </w:numPr>
        <w:spacing w:line="240" w:lineRule="auto"/>
        <w:jc w:val="both"/>
        <w:rPr>
          <w:rFonts w:ascii="Arial" w:hAnsi="Arial" w:cs="Arial"/>
        </w:rPr>
      </w:pPr>
      <w:r>
        <w:rPr>
          <w:rFonts w:ascii="Arial" w:hAnsi="Arial"/>
        </w:rPr>
        <w:t>Description de l</w:t>
      </w:r>
      <w:r w:rsidR="00871FB2">
        <w:rPr>
          <w:rFonts w:ascii="Arial" w:hAnsi="Arial"/>
        </w:rPr>
        <w:t>’</w:t>
      </w:r>
      <w:r>
        <w:rPr>
          <w:rFonts w:ascii="Arial" w:hAnsi="Arial"/>
        </w:rPr>
        <w:t>ensemble des interventions et des hypothèses du programme</w:t>
      </w:r>
    </w:p>
    <w:p w14:paraId="689AB683" w14:textId="533B5675" w:rsidR="0067487E" w:rsidRDefault="0067487E" w:rsidP="006569B7">
      <w:pPr>
        <w:pStyle w:val="ListParagraph"/>
        <w:widowControl w:val="0"/>
        <w:numPr>
          <w:ilvl w:val="0"/>
          <w:numId w:val="15"/>
        </w:numPr>
        <w:spacing w:line="240" w:lineRule="auto"/>
        <w:jc w:val="both"/>
        <w:rPr>
          <w:rFonts w:ascii="Arial" w:hAnsi="Arial" w:cs="Arial"/>
        </w:rPr>
      </w:pPr>
      <w:r>
        <w:rPr>
          <w:rFonts w:ascii="Arial" w:hAnsi="Arial"/>
        </w:rPr>
        <w:t>Méthodologie</w:t>
      </w:r>
    </w:p>
    <w:p w14:paraId="48B5EDCC" w14:textId="0418087F" w:rsidR="0067487E" w:rsidRDefault="0067487E" w:rsidP="006569B7">
      <w:pPr>
        <w:pStyle w:val="ListParagraph"/>
        <w:widowControl w:val="0"/>
        <w:numPr>
          <w:ilvl w:val="1"/>
          <w:numId w:val="15"/>
        </w:numPr>
        <w:spacing w:line="240" w:lineRule="auto"/>
        <w:jc w:val="both"/>
        <w:rPr>
          <w:rFonts w:ascii="Arial" w:hAnsi="Arial" w:cs="Arial"/>
        </w:rPr>
      </w:pPr>
      <w:r>
        <w:rPr>
          <w:rFonts w:ascii="Arial" w:hAnsi="Arial"/>
        </w:rPr>
        <w:t>Stratégie d</w:t>
      </w:r>
      <w:r w:rsidR="00871FB2">
        <w:rPr>
          <w:rFonts w:ascii="Arial" w:hAnsi="Arial"/>
        </w:rPr>
        <w:t>’</w:t>
      </w:r>
      <w:r>
        <w:rPr>
          <w:rFonts w:ascii="Arial" w:hAnsi="Arial"/>
        </w:rPr>
        <w:t>identification</w:t>
      </w:r>
    </w:p>
    <w:p w14:paraId="68DABCCE" w14:textId="0054164E" w:rsidR="0067487E" w:rsidRDefault="0067487E" w:rsidP="006569B7">
      <w:pPr>
        <w:pStyle w:val="ListParagraph"/>
        <w:widowControl w:val="0"/>
        <w:numPr>
          <w:ilvl w:val="1"/>
          <w:numId w:val="15"/>
        </w:numPr>
        <w:spacing w:line="240" w:lineRule="auto"/>
        <w:jc w:val="both"/>
        <w:rPr>
          <w:rFonts w:ascii="Arial" w:hAnsi="Arial" w:cs="Arial"/>
        </w:rPr>
      </w:pPr>
      <w:r>
        <w:rPr>
          <w:rFonts w:ascii="Arial" w:hAnsi="Arial"/>
        </w:rPr>
        <w:t>Échantillonnage</w:t>
      </w:r>
    </w:p>
    <w:p w14:paraId="50C10876" w14:textId="43E0E91B" w:rsidR="0067487E" w:rsidRDefault="0067487E" w:rsidP="006569B7">
      <w:pPr>
        <w:pStyle w:val="ListParagraph"/>
        <w:widowControl w:val="0"/>
        <w:numPr>
          <w:ilvl w:val="1"/>
          <w:numId w:val="15"/>
        </w:numPr>
        <w:spacing w:line="240" w:lineRule="auto"/>
        <w:jc w:val="both"/>
        <w:rPr>
          <w:rFonts w:ascii="Arial" w:hAnsi="Arial" w:cs="Arial"/>
        </w:rPr>
      </w:pPr>
      <w:r>
        <w:rPr>
          <w:rFonts w:ascii="Arial" w:hAnsi="Arial"/>
        </w:rPr>
        <w:t>Approche analytique</w:t>
      </w:r>
    </w:p>
    <w:p w14:paraId="1E05D4F5" w14:textId="7D35F600" w:rsidR="0067487E" w:rsidRDefault="0067487E" w:rsidP="006569B7">
      <w:pPr>
        <w:pStyle w:val="ListParagraph"/>
        <w:widowControl w:val="0"/>
        <w:numPr>
          <w:ilvl w:val="1"/>
          <w:numId w:val="15"/>
        </w:numPr>
        <w:spacing w:line="240" w:lineRule="auto"/>
        <w:jc w:val="both"/>
        <w:rPr>
          <w:rFonts w:ascii="Arial" w:hAnsi="Arial" w:cs="Arial"/>
        </w:rPr>
      </w:pPr>
      <w:r>
        <w:rPr>
          <w:rFonts w:ascii="Arial" w:hAnsi="Arial"/>
        </w:rPr>
        <w:t>Limites et défis</w:t>
      </w:r>
    </w:p>
    <w:p w14:paraId="2CD12127" w14:textId="1A5E56C0" w:rsidR="0067487E" w:rsidRDefault="0067487E" w:rsidP="006569B7">
      <w:pPr>
        <w:pStyle w:val="ListParagraph"/>
        <w:widowControl w:val="0"/>
        <w:numPr>
          <w:ilvl w:val="0"/>
          <w:numId w:val="15"/>
        </w:numPr>
        <w:spacing w:line="240" w:lineRule="auto"/>
        <w:jc w:val="both"/>
        <w:rPr>
          <w:rFonts w:ascii="Arial" w:hAnsi="Arial" w:cs="Arial"/>
        </w:rPr>
      </w:pPr>
      <w:r>
        <w:rPr>
          <w:rFonts w:ascii="Arial" w:hAnsi="Arial"/>
        </w:rPr>
        <w:t>Résultats de l</w:t>
      </w:r>
      <w:r w:rsidR="00871FB2">
        <w:rPr>
          <w:rFonts w:ascii="Arial" w:hAnsi="Arial"/>
        </w:rPr>
        <w:t>’</w:t>
      </w:r>
      <w:r>
        <w:rPr>
          <w:rFonts w:ascii="Arial" w:hAnsi="Arial"/>
        </w:rPr>
        <w:t>évaluation d</w:t>
      </w:r>
      <w:r w:rsidR="00871FB2">
        <w:rPr>
          <w:rFonts w:ascii="Arial" w:hAnsi="Arial"/>
        </w:rPr>
        <w:t>’</w:t>
      </w:r>
      <w:r>
        <w:rPr>
          <w:rFonts w:ascii="Arial" w:hAnsi="Arial"/>
        </w:rPr>
        <w:t>impact</w:t>
      </w:r>
    </w:p>
    <w:p w14:paraId="2995781E" w14:textId="5E59A2EE" w:rsidR="0067487E" w:rsidRDefault="0067487E" w:rsidP="006569B7">
      <w:pPr>
        <w:pStyle w:val="ListParagraph"/>
        <w:widowControl w:val="0"/>
        <w:numPr>
          <w:ilvl w:val="0"/>
          <w:numId w:val="15"/>
        </w:numPr>
        <w:spacing w:line="240" w:lineRule="auto"/>
        <w:jc w:val="both"/>
        <w:rPr>
          <w:rFonts w:ascii="Arial" w:hAnsi="Arial" w:cs="Arial"/>
        </w:rPr>
      </w:pPr>
      <w:r>
        <w:rPr>
          <w:rFonts w:ascii="Arial" w:hAnsi="Arial"/>
        </w:rPr>
        <w:t>Discussion des résultats</w:t>
      </w:r>
    </w:p>
    <w:p w14:paraId="22F49898" w14:textId="4E22D6C1" w:rsidR="0067487E" w:rsidRPr="0067487E" w:rsidRDefault="0067487E" w:rsidP="006569B7">
      <w:pPr>
        <w:pStyle w:val="ListParagraph"/>
        <w:widowControl w:val="0"/>
        <w:numPr>
          <w:ilvl w:val="0"/>
          <w:numId w:val="15"/>
        </w:numPr>
        <w:spacing w:line="240" w:lineRule="auto"/>
        <w:jc w:val="both"/>
        <w:rPr>
          <w:rFonts w:ascii="Arial" w:hAnsi="Arial" w:cs="Arial"/>
        </w:rPr>
      </w:pPr>
      <w:r>
        <w:rPr>
          <w:rFonts w:ascii="Arial" w:hAnsi="Arial"/>
        </w:rPr>
        <w:t>Conclusions et enseignements tirés</w:t>
      </w:r>
    </w:p>
    <w:p w14:paraId="6B265693" w14:textId="1EB50E5C" w:rsidR="00DE1696" w:rsidRPr="0067487E" w:rsidRDefault="00DE1696" w:rsidP="006569B7">
      <w:pPr>
        <w:pStyle w:val="ListParagraph"/>
        <w:widowControl w:val="0"/>
        <w:numPr>
          <w:ilvl w:val="0"/>
          <w:numId w:val="15"/>
        </w:numPr>
        <w:spacing w:line="240" w:lineRule="auto"/>
        <w:jc w:val="both"/>
        <w:rPr>
          <w:rFonts w:ascii="Arial" w:hAnsi="Arial" w:cs="Arial"/>
        </w:rPr>
      </w:pPr>
      <w:r>
        <w:rPr>
          <w:rFonts w:ascii="Arial" w:hAnsi="Arial"/>
        </w:rPr>
        <w:t xml:space="preserve">Annexes </w:t>
      </w:r>
    </w:p>
    <w:p w14:paraId="148CC9F2" w14:textId="77777777" w:rsidR="00635B2A" w:rsidRPr="00056B16" w:rsidRDefault="00635B2A" w:rsidP="006569B7">
      <w:pPr>
        <w:spacing w:line="240" w:lineRule="auto"/>
        <w:rPr>
          <w:rFonts w:ascii="Arial" w:hAnsi="Arial" w:cs="Arial"/>
        </w:rPr>
      </w:pPr>
    </w:p>
    <w:sectPr w:rsidR="00635B2A" w:rsidRPr="00056B16" w:rsidSect="002F13D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50381" w14:textId="77777777" w:rsidR="0042594C" w:rsidRDefault="0042594C" w:rsidP="00867851">
      <w:pPr>
        <w:spacing w:after="0" w:line="240" w:lineRule="auto"/>
      </w:pPr>
      <w:r>
        <w:separator/>
      </w:r>
    </w:p>
  </w:endnote>
  <w:endnote w:type="continuationSeparator" w:id="0">
    <w:p w14:paraId="4E6F7B90" w14:textId="77777777" w:rsidR="0042594C" w:rsidRDefault="0042594C" w:rsidP="00867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E9F49" w14:textId="77777777" w:rsidR="00871FB2" w:rsidRDefault="00871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26C77" w14:textId="77777777" w:rsidR="00871FB2" w:rsidRDefault="00871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4CEA9" w14:textId="77777777" w:rsidR="00871FB2" w:rsidRDefault="00871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7423E" w14:textId="77777777" w:rsidR="0042594C" w:rsidRDefault="0042594C" w:rsidP="00867851">
      <w:pPr>
        <w:spacing w:after="0" w:line="240" w:lineRule="auto"/>
      </w:pPr>
      <w:r>
        <w:separator/>
      </w:r>
    </w:p>
  </w:footnote>
  <w:footnote w:type="continuationSeparator" w:id="0">
    <w:p w14:paraId="2814D2EA" w14:textId="77777777" w:rsidR="0042594C" w:rsidRDefault="0042594C" w:rsidP="008678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C8677" w14:textId="77777777" w:rsidR="00871FB2" w:rsidRDefault="00871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C078" w14:textId="77777777" w:rsidR="00871FB2" w:rsidRDefault="00871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5A5D" w14:textId="77777777" w:rsidR="00871FB2" w:rsidRDefault="00871FB2">
    <w:pPr>
      <w:pStyle w:val="Header"/>
    </w:pPr>
  </w:p>
</w:hdr>
</file>

<file path=word/intelligence2.xml><?xml version="1.0" encoding="utf-8"?>
<int2:intelligence xmlns:int2="http://schemas.microsoft.com/office/intelligence/2020/intelligence" xmlns:oel="http://schemas.microsoft.com/office/2019/extlst">
  <int2:observations>
    <int2:textHash int2:hashCode="F4jFMDCCBbRAAr" int2:id="xfJBPMpi">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63"/>
    <w:multiLevelType w:val="hybridMultilevel"/>
    <w:tmpl w:val="7194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47A82"/>
    <w:multiLevelType w:val="hybridMultilevel"/>
    <w:tmpl w:val="289C5DEC"/>
    <w:lvl w:ilvl="0" w:tplc="E9307A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56A11"/>
    <w:multiLevelType w:val="hybridMultilevel"/>
    <w:tmpl w:val="1702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F77AE"/>
    <w:multiLevelType w:val="hybridMultilevel"/>
    <w:tmpl w:val="24289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872A0"/>
    <w:multiLevelType w:val="hybridMultilevel"/>
    <w:tmpl w:val="90A2189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131F00"/>
    <w:multiLevelType w:val="hybridMultilevel"/>
    <w:tmpl w:val="2D800732"/>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331213"/>
    <w:multiLevelType w:val="hybridMultilevel"/>
    <w:tmpl w:val="D2DA7DB2"/>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F853CE8"/>
    <w:multiLevelType w:val="hybridMultilevel"/>
    <w:tmpl w:val="F49E02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BCF14D"/>
    <w:multiLevelType w:val="hybridMultilevel"/>
    <w:tmpl w:val="2778AE1E"/>
    <w:lvl w:ilvl="0" w:tplc="340CFB46">
      <w:start w:val="1"/>
      <w:numFmt w:val="decimal"/>
      <w:lvlText w:val="%1."/>
      <w:lvlJc w:val="left"/>
      <w:pPr>
        <w:ind w:left="720" w:hanging="360"/>
      </w:pPr>
    </w:lvl>
    <w:lvl w:ilvl="1" w:tplc="6F905800">
      <w:start w:val="1"/>
      <w:numFmt w:val="lowerLetter"/>
      <w:lvlText w:val="%2."/>
      <w:lvlJc w:val="left"/>
      <w:pPr>
        <w:ind w:left="1440" w:hanging="360"/>
      </w:pPr>
    </w:lvl>
    <w:lvl w:ilvl="2" w:tplc="849CF84E">
      <w:start w:val="1"/>
      <w:numFmt w:val="lowerRoman"/>
      <w:lvlText w:val="%3."/>
      <w:lvlJc w:val="right"/>
      <w:pPr>
        <w:ind w:left="2160" w:hanging="180"/>
      </w:pPr>
    </w:lvl>
    <w:lvl w:ilvl="3" w:tplc="8AA67246">
      <w:start w:val="1"/>
      <w:numFmt w:val="decimal"/>
      <w:lvlText w:val="%4."/>
      <w:lvlJc w:val="left"/>
      <w:pPr>
        <w:ind w:left="2880" w:hanging="360"/>
      </w:pPr>
    </w:lvl>
    <w:lvl w:ilvl="4" w:tplc="7D489080">
      <w:start w:val="1"/>
      <w:numFmt w:val="lowerLetter"/>
      <w:lvlText w:val="%5."/>
      <w:lvlJc w:val="left"/>
      <w:pPr>
        <w:ind w:left="3600" w:hanging="360"/>
      </w:pPr>
    </w:lvl>
    <w:lvl w:ilvl="5" w:tplc="05A6036C">
      <w:start w:val="1"/>
      <w:numFmt w:val="lowerRoman"/>
      <w:lvlText w:val="%6."/>
      <w:lvlJc w:val="right"/>
      <w:pPr>
        <w:ind w:left="4320" w:hanging="180"/>
      </w:pPr>
    </w:lvl>
    <w:lvl w:ilvl="6" w:tplc="99A6211A">
      <w:start w:val="1"/>
      <w:numFmt w:val="decimal"/>
      <w:lvlText w:val="%7."/>
      <w:lvlJc w:val="left"/>
      <w:pPr>
        <w:ind w:left="5040" w:hanging="360"/>
      </w:pPr>
    </w:lvl>
    <w:lvl w:ilvl="7" w:tplc="51C087AC">
      <w:start w:val="1"/>
      <w:numFmt w:val="lowerLetter"/>
      <w:lvlText w:val="%8."/>
      <w:lvlJc w:val="left"/>
      <w:pPr>
        <w:ind w:left="5760" w:hanging="360"/>
      </w:pPr>
    </w:lvl>
    <w:lvl w:ilvl="8" w:tplc="756C3066">
      <w:start w:val="1"/>
      <w:numFmt w:val="lowerRoman"/>
      <w:lvlText w:val="%9."/>
      <w:lvlJc w:val="right"/>
      <w:pPr>
        <w:ind w:left="6480" w:hanging="180"/>
      </w:pPr>
    </w:lvl>
  </w:abstractNum>
  <w:abstractNum w:abstractNumId="9" w15:restartNumberingAfterBreak="0">
    <w:nsid w:val="3BE57AEF"/>
    <w:multiLevelType w:val="hybridMultilevel"/>
    <w:tmpl w:val="0056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191C12"/>
    <w:multiLevelType w:val="hybridMultilevel"/>
    <w:tmpl w:val="ACEC4B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F921A0"/>
    <w:multiLevelType w:val="hybridMultilevel"/>
    <w:tmpl w:val="3BDE3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E90F2"/>
    <w:multiLevelType w:val="hybridMultilevel"/>
    <w:tmpl w:val="96162F5C"/>
    <w:lvl w:ilvl="0" w:tplc="3C70E956">
      <w:start w:val="1"/>
      <w:numFmt w:val="decimal"/>
      <w:lvlText w:val="%1."/>
      <w:lvlJc w:val="left"/>
      <w:pPr>
        <w:ind w:left="720" w:hanging="360"/>
      </w:pPr>
    </w:lvl>
    <w:lvl w:ilvl="1" w:tplc="37FE8CE8">
      <w:start w:val="1"/>
      <w:numFmt w:val="lowerLetter"/>
      <w:lvlText w:val="%2."/>
      <w:lvlJc w:val="left"/>
      <w:pPr>
        <w:ind w:left="1440" w:hanging="360"/>
      </w:pPr>
    </w:lvl>
    <w:lvl w:ilvl="2" w:tplc="14F446C6">
      <w:start w:val="1"/>
      <w:numFmt w:val="lowerRoman"/>
      <w:lvlText w:val="%3."/>
      <w:lvlJc w:val="right"/>
      <w:pPr>
        <w:ind w:left="2160" w:hanging="180"/>
      </w:pPr>
    </w:lvl>
    <w:lvl w:ilvl="3" w:tplc="9460989C">
      <w:start w:val="1"/>
      <w:numFmt w:val="decimal"/>
      <w:lvlText w:val="%4."/>
      <w:lvlJc w:val="left"/>
      <w:pPr>
        <w:ind w:left="2880" w:hanging="360"/>
      </w:pPr>
    </w:lvl>
    <w:lvl w:ilvl="4" w:tplc="262CF258">
      <w:start w:val="1"/>
      <w:numFmt w:val="lowerLetter"/>
      <w:lvlText w:val="%5."/>
      <w:lvlJc w:val="left"/>
      <w:pPr>
        <w:ind w:left="3600" w:hanging="360"/>
      </w:pPr>
    </w:lvl>
    <w:lvl w:ilvl="5" w:tplc="C9E0122C">
      <w:start w:val="1"/>
      <w:numFmt w:val="lowerRoman"/>
      <w:lvlText w:val="%6."/>
      <w:lvlJc w:val="right"/>
      <w:pPr>
        <w:ind w:left="4320" w:hanging="180"/>
      </w:pPr>
    </w:lvl>
    <w:lvl w:ilvl="6" w:tplc="78D867C4">
      <w:start w:val="1"/>
      <w:numFmt w:val="decimal"/>
      <w:lvlText w:val="%7."/>
      <w:lvlJc w:val="left"/>
      <w:pPr>
        <w:ind w:left="5040" w:hanging="360"/>
      </w:pPr>
    </w:lvl>
    <w:lvl w:ilvl="7" w:tplc="64A209AC">
      <w:start w:val="1"/>
      <w:numFmt w:val="lowerLetter"/>
      <w:lvlText w:val="%8."/>
      <w:lvlJc w:val="left"/>
      <w:pPr>
        <w:ind w:left="5760" w:hanging="360"/>
      </w:pPr>
    </w:lvl>
    <w:lvl w:ilvl="8" w:tplc="8CC4CD06">
      <w:start w:val="1"/>
      <w:numFmt w:val="lowerRoman"/>
      <w:lvlText w:val="%9."/>
      <w:lvlJc w:val="right"/>
      <w:pPr>
        <w:ind w:left="6480" w:hanging="180"/>
      </w:pPr>
    </w:lvl>
  </w:abstractNum>
  <w:abstractNum w:abstractNumId="13" w15:restartNumberingAfterBreak="0">
    <w:nsid w:val="6CD03563"/>
    <w:multiLevelType w:val="hybridMultilevel"/>
    <w:tmpl w:val="9E162A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7E965E4"/>
    <w:multiLevelType w:val="hybridMultilevel"/>
    <w:tmpl w:val="B19C425A"/>
    <w:lvl w:ilvl="0" w:tplc="C4F8F4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0083215">
    <w:abstractNumId w:val="12"/>
  </w:num>
  <w:num w:numId="2" w16cid:durableId="257443248">
    <w:abstractNumId w:val="8"/>
  </w:num>
  <w:num w:numId="3" w16cid:durableId="1602713283">
    <w:abstractNumId w:val="1"/>
  </w:num>
  <w:num w:numId="4" w16cid:durableId="220332234">
    <w:abstractNumId w:val="6"/>
  </w:num>
  <w:num w:numId="5" w16cid:durableId="2085367841">
    <w:abstractNumId w:val="5"/>
  </w:num>
  <w:num w:numId="6" w16cid:durableId="1111053712">
    <w:abstractNumId w:val="4"/>
  </w:num>
  <w:num w:numId="7" w16cid:durableId="1730111373">
    <w:abstractNumId w:val="14"/>
  </w:num>
  <w:num w:numId="8" w16cid:durableId="149101531">
    <w:abstractNumId w:val="10"/>
  </w:num>
  <w:num w:numId="9" w16cid:durableId="1372917550">
    <w:abstractNumId w:val="2"/>
  </w:num>
  <w:num w:numId="10" w16cid:durableId="892425965">
    <w:abstractNumId w:val="0"/>
  </w:num>
  <w:num w:numId="11" w16cid:durableId="96566391">
    <w:abstractNumId w:val="9"/>
  </w:num>
  <w:num w:numId="12" w16cid:durableId="2053379985">
    <w:abstractNumId w:val="11"/>
  </w:num>
  <w:num w:numId="13" w16cid:durableId="1728072495">
    <w:abstractNumId w:val="3"/>
  </w:num>
  <w:num w:numId="14" w16cid:durableId="1632175842">
    <w:abstractNumId w:val="13"/>
  </w:num>
  <w:num w:numId="15" w16cid:durableId="26453385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DE4"/>
    <w:rsid w:val="00004BA4"/>
    <w:rsid w:val="00007EE0"/>
    <w:rsid w:val="00015841"/>
    <w:rsid w:val="00016F21"/>
    <w:rsid w:val="00025052"/>
    <w:rsid w:val="000303A0"/>
    <w:rsid w:val="00031C25"/>
    <w:rsid w:val="00034294"/>
    <w:rsid w:val="0003648C"/>
    <w:rsid w:val="00041307"/>
    <w:rsid w:val="000419F4"/>
    <w:rsid w:val="00046DA1"/>
    <w:rsid w:val="00053C1B"/>
    <w:rsid w:val="0005571B"/>
    <w:rsid w:val="00055A48"/>
    <w:rsid w:val="00056B16"/>
    <w:rsid w:val="000632F8"/>
    <w:rsid w:val="00064A92"/>
    <w:rsid w:val="000705A9"/>
    <w:rsid w:val="000805F8"/>
    <w:rsid w:val="0008518A"/>
    <w:rsid w:val="00091F4E"/>
    <w:rsid w:val="000A0B7D"/>
    <w:rsid w:val="000A25BB"/>
    <w:rsid w:val="000A4B4D"/>
    <w:rsid w:val="000C70D6"/>
    <w:rsid w:val="000D3ADB"/>
    <w:rsid w:val="000E1571"/>
    <w:rsid w:val="000E2EF6"/>
    <w:rsid w:val="000F48B5"/>
    <w:rsid w:val="001022E3"/>
    <w:rsid w:val="0010296D"/>
    <w:rsid w:val="00102B53"/>
    <w:rsid w:val="0011252D"/>
    <w:rsid w:val="00112DD5"/>
    <w:rsid w:val="00122122"/>
    <w:rsid w:val="001239C3"/>
    <w:rsid w:val="00125A8C"/>
    <w:rsid w:val="00134F56"/>
    <w:rsid w:val="00140065"/>
    <w:rsid w:val="0016318E"/>
    <w:rsid w:val="00164738"/>
    <w:rsid w:val="001661B2"/>
    <w:rsid w:val="00166D74"/>
    <w:rsid w:val="00167D7F"/>
    <w:rsid w:val="00180389"/>
    <w:rsid w:val="00180642"/>
    <w:rsid w:val="00180A61"/>
    <w:rsid w:val="00180E57"/>
    <w:rsid w:val="00183A45"/>
    <w:rsid w:val="00196460"/>
    <w:rsid w:val="00196C82"/>
    <w:rsid w:val="001A1122"/>
    <w:rsid w:val="001C12E6"/>
    <w:rsid w:val="001C12F3"/>
    <w:rsid w:val="001C13EF"/>
    <w:rsid w:val="001C5CE0"/>
    <w:rsid w:val="001D2971"/>
    <w:rsid w:val="001E137E"/>
    <w:rsid w:val="001E530F"/>
    <w:rsid w:val="001F0526"/>
    <w:rsid w:val="001F0F8B"/>
    <w:rsid w:val="001F17E5"/>
    <w:rsid w:val="001F5B9C"/>
    <w:rsid w:val="00206C05"/>
    <w:rsid w:val="00224383"/>
    <w:rsid w:val="002348F5"/>
    <w:rsid w:val="00250F86"/>
    <w:rsid w:val="002570E8"/>
    <w:rsid w:val="0026197B"/>
    <w:rsid w:val="0026453E"/>
    <w:rsid w:val="002754B0"/>
    <w:rsid w:val="00285EA0"/>
    <w:rsid w:val="0029017D"/>
    <w:rsid w:val="002929FF"/>
    <w:rsid w:val="002948DC"/>
    <w:rsid w:val="002A48CE"/>
    <w:rsid w:val="002A5669"/>
    <w:rsid w:val="002A5BF4"/>
    <w:rsid w:val="002B01A1"/>
    <w:rsid w:val="002B31A3"/>
    <w:rsid w:val="002B3E23"/>
    <w:rsid w:val="002B4B8D"/>
    <w:rsid w:val="002B4DE4"/>
    <w:rsid w:val="002C12DD"/>
    <w:rsid w:val="002C4626"/>
    <w:rsid w:val="002D0EBD"/>
    <w:rsid w:val="002D44D8"/>
    <w:rsid w:val="002D78E0"/>
    <w:rsid w:val="002E0135"/>
    <w:rsid w:val="002E5C77"/>
    <w:rsid w:val="002E5F58"/>
    <w:rsid w:val="002F13D0"/>
    <w:rsid w:val="00305248"/>
    <w:rsid w:val="00305C13"/>
    <w:rsid w:val="00316EFA"/>
    <w:rsid w:val="00316F05"/>
    <w:rsid w:val="00322624"/>
    <w:rsid w:val="003239BF"/>
    <w:rsid w:val="003274BF"/>
    <w:rsid w:val="00327A35"/>
    <w:rsid w:val="0033132E"/>
    <w:rsid w:val="003333CA"/>
    <w:rsid w:val="00334A67"/>
    <w:rsid w:val="00340554"/>
    <w:rsid w:val="00342DC3"/>
    <w:rsid w:val="003438C6"/>
    <w:rsid w:val="0034400C"/>
    <w:rsid w:val="003570A2"/>
    <w:rsid w:val="00357301"/>
    <w:rsid w:val="0038178B"/>
    <w:rsid w:val="00383527"/>
    <w:rsid w:val="003945A9"/>
    <w:rsid w:val="003A1863"/>
    <w:rsid w:val="003A3CAD"/>
    <w:rsid w:val="003B3730"/>
    <w:rsid w:val="003D2DB7"/>
    <w:rsid w:val="003D6D66"/>
    <w:rsid w:val="003E1AD3"/>
    <w:rsid w:val="003E20F3"/>
    <w:rsid w:val="003E2C5F"/>
    <w:rsid w:val="003F064C"/>
    <w:rsid w:val="003F6A3B"/>
    <w:rsid w:val="00412A13"/>
    <w:rsid w:val="00413FF0"/>
    <w:rsid w:val="00424151"/>
    <w:rsid w:val="0042594C"/>
    <w:rsid w:val="0042787E"/>
    <w:rsid w:val="00427DC0"/>
    <w:rsid w:val="0044190D"/>
    <w:rsid w:val="004552AE"/>
    <w:rsid w:val="004565FE"/>
    <w:rsid w:val="00461220"/>
    <w:rsid w:val="0046218F"/>
    <w:rsid w:val="0048625F"/>
    <w:rsid w:val="0049005B"/>
    <w:rsid w:val="0049264F"/>
    <w:rsid w:val="00492AC3"/>
    <w:rsid w:val="004C6E5A"/>
    <w:rsid w:val="004C721B"/>
    <w:rsid w:val="004E6983"/>
    <w:rsid w:val="004F074C"/>
    <w:rsid w:val="004F67C2"/>
    <w:rsid w:val="00510DB0"/>
    <w:rsid w:val="005157FE"/>
    <w:rsid w:val="005162C3"/>
    <w:rsid w:val="00516E3D"/>
    <w:rsid w:val="0053164F"/>
    <w:rsid w:val="005335C9"/>
    <w:rsid w:val="00542136"/>
    <w:rsid w:val="0054254F"/>
    <w:rsid w:val="00546EB9"/>
    <w:rsid w:val="00553640"/>
    <w:rsid w:val="0056359F"/>
    <w:rsid w:val="00567649"/>
    <w:rsid w:val="00567FEA"/>
    <w:rsid w:val="005833F3"/>
    <w:rsid w:val="00585AFD"/>
    <w:rsid w:val="00590B8D"/>
    <w:rsid w:val="005B1988"/>
    <w:rsid w:val="005B5A4E"/>
    <w:rsid w:val="005C31DD"/>
    <w:rsid w:val="005C3D80"/>
    <w:rsid w:val="005C575E"/>
    <w:rsid w:val="005C7BF1"/>
    <w:rsid w:val="005D1461"/>
    <w:rsid w:val="005D2482"/>
    <w:rsid w:val="005E4529"/>
    <w:rsid w:val="005E453B"/>
    <w:rsid w:val="005E4D7E"/>
    <w:rsid w:val="005F3D25"/>
    <w:rsid w:val="00610375"/>
    <w:rsid w:val="00615B14"/>
    <w:rsid w:val="00626246"/>
    <w:rsid w:val="00635B2A"/>
    <w:rsid w:val="006363CD"/>
    <w:rsid w:val="00637CCD"/>
    <w:rsid w:val="006417D4"/>
    <w:rsid w:val="00646DE3"/>
    <w:rsid w:val="00652276"/>
    <w:rsid w:val="006569B7"/>
    <w:rsid w:val="00657D46"/>
    <w:rsid w:val="006613E7"/>
    <w:rsid w:val="0066537E"/>
    <w:rsid w:val="0067487E"/>
    <w:rsid w:val="00680E28"/>
    <w:rsid w:val="0068314E"/>
    <w:rsid w:val="006848C3"/>
    <w:rsid w:val="006860A8"/>
    <w:rsid w:val="0068694F"/>
    <w:rsid w:val="006930BC"/>
    <w:rsid w:val="00697E7D"/>
    <w:rsid w:val="006B30D4"/>
    <w:rsid w:val="006C7D1F"/>
    <w:rsid w:val="006C7DCD"/>
    <w:rsid w:val="006D25ED"/>
    <w:rsid w:val="006F365A"/>
    <w:rsid w:val="006F5E91"/>
    <w:rsid w:val="006F7198"/>
    <w:rsid w:val="00706FD3"/>
    <w:rsid w:val="00707EBE"/>
    <w:rsid w:val="0071349F"/>
    <w:rsid w:val="00714D26"/>
    <w:rsid w:val="00726C3C"/>
    <w:rsid w:val="00727376"/>
    <w:rsid w:val="00740730"/>
    <w:rsid w:val="007511E2"/>
    <w:rsid w:val="0075157B"/>
    <w:rsid w:val="00753E3E"/>
    <w:rsid w:val="0075418C"/>
    <w:rsid w:val="00755D81"/>
    <w:rsid w:val="0076377F"/>
    <w:rsid w:val="00765C0D"/>
    <w:rsid w:val="007705C5"/>
    <w:rsid w:val="0078571A"/>
    <w:rsid w:val="00786646"/>
    <w:rsid w:val="0079264E"/>
    <w:rsid w:val="007A2A53"/>
    <w:rsid w:val="007A3A5E"/>
    <w:rsid w:val="007A6003"/>
    <w:rsid w:val="007D3319"/>
    <w:rsid w:val="007D5B79"/>
    <w:rsid w:val="007E2C4C"/>
    <w:rsid w:val="007E5735"/>
    <w:rsid w:val="007E7C2F"/>
    <w:rsid w:val="007F498B"/>
    <w:rsid w:val="00812C8C"/>
    <w:rsid w:val="0081367C"/>
    <w:rsid w:val="00815927"/>
    <w:rsid w:val="00834302"/>
    <w:rsid w:val="0084544D"/>
    <w:rsid w:val="00851492"/>
    <w:rsid w:val="008559B2"/>
    <w:rsid w:val="00864FCE"/>
    <w:rsid w:val="00867851"/>
    <w:rsid w:val="00870DA3"/>
    <w:rsid w:val="00871918"/>
    <w:rsid w:val="00871FB2"/>
    <w:rsid w:val="00891021"/>
    <w:rsid w:val="0089778A"/>
    <w:rsid w:val="008B272B"/>
    <w:rsid w:val="008B3C1C"/>
    <w:rsid w:val="008B7020"/>
    <w:rsid w:val="008C7ED9"/>
    <w:rsid w:val="008D05DB"/>
    <w:rsid w:val="008F25B0"/>
    <w:rsid w:val="008F42AB"/>
    <w:rsid w:val="008F6229"/>
    <w:rsid w:val="00915470"/>
    <w:rsid w:val="009265F5"/>
    <w:rsid w:val="00933617"/>
    <w:rsid w:val="00935F69"/>
    <w:rsid w:val="009367F5"/>
    <w:rsid w:val="00950D48"/>
    <w:rsid w:val="00952631"/>
    <w:rsid w:val="00955DCF"/>
    <w:rsid w:val="00961C7F"/>
    <w:rsid w:val="009651F9"/>
    <w:rsid w:val="00983CA6"/>
    <w:rsid w:val="0099356E"/>
    <w:rsid w:val="00993EDF"/>
    <w:rsid w:val="009A13BB"/>
    <w:rsid w:val="009C6108"/>
    <w:rsid w:val="009C6EB1"/>
    <w:rsid w:val="009C7A34"/>
    <w:rsid w:val="009D1092"/>
    <w:rsid w:val="009D4470"/>
    <w:rsid w:val="009E2223"/>
    <w:rsid w:val="009E24FB"/>
    <w:rsid w:val="009E4897"/>
    <w:rsid w:val="009F3C61"/>
    <w:rsid w:val="009F6187"/>
    <w:rsid w:val="00A002BC"/>
    <w:rsid w:val="00A07C08"/>
    <w:rsid w:val="00A12EEF"/>
    <w:rsid w:val="00A1695C"/>
    <w:rsid w:val="00A37B0A"/>
    <w:rsid w:val="00A4687C"/>
    <w:rsid w:val="00A529F8"/>
    <w:rsid w:val="00A62733"/>
    <w:rsid w:val="00A62991"/>
    <w:rsid w:val="00A63842"/>
    <w:rsid w:val="00A63CBF"/>
    <w:rsid w:val="00A64E8B"/>
    <w:rsid w:val="00A72A9F"/>
    <w:rsid w:val="00A82B1F"/>
    <w:rsid w:val="00A83BF5"/>
    <w:rsid w:val="00A9662F"/>
    <w:rsid w:val="00AB3CA5"/>
    <w:rsid w:val="00AC7B0E"/>
    <w:rsid w:val="00AC7DA1"/>
    <w:rsid w:val="00AD2455"/>
    <w:rsid w:val="00AD60F1"/>
    <w:rsid w:val="00AD7EA3"/>
    <w:rsid w:val="00AE30FC"/>
    <w:rsid w:val="00AF7340"/>
    <w:rsid w:val="00B114A6"/>
    <w:rsid w:val="00B31D90"/>
    <w:rsid w:val="00B35A18"/>
    <w:rsid w:val="00B41C1B"/>
    <w:rsid w:val="00B41EB5"/>
    <w:rsid w:val="00B46BF7"/>
    <w:rsid w:val="00B52A79"/>
    <w:rsid w:val="00B54482"/>
    <w:rsid w:val="00B753FE"/>
    <w:rsid w:val="00B759C0"/>
    <w:rsid w:val="00B813CC"/>
    <w:rsid w:val="00B85B64"/>
    <w:rsid w:val="00B86EBA"/>
    <w:rsid w:val="00B90C55"/>
    <w:rsid w:val="00B9264E"/>
    <w:rsid w:val="00B943ED"/>
    <w:rsid w:val="00BB2179"/>
    <w:rsid w:val="00BB45AB"/>
    <w:rsid w:val="00BB6062"/>
    <w:rsid w:val="00BD2738"/>
    <w:rsid w:val="00BD4AA9"/>
    <w:rsid w:val="00BD5CB1"/>
    <w:rsid w:val="00BE2D1E"/>
    <w:rsid w:val="00BF329F"/>
    <w:rsid w:val="00BF37F5"/>
    <w:rsid w:val="00BF4B69"/>
    <w:rsid w:val="00BF7EFB"/>
    <w:rsid w:val="00C13215"/>
    <w:rsid w:val="00C2246F"/>
    <w:rsid w:val="00C27F24"/>
    <w:rsid w:val="00C27F4D"/>
    <w:rsid w:val="00C433BF"/>
    <w:rsid w:val="00C717B3"/>
    <w:rsid w:val="00C72C63"/>
    <w:rsid w:val="00C85087"/>
    <w:rsid w:val="00CB0462"/>
    <w:rsid w:val="00CB237C"/>
    <w:rsid w:val="00CB63B6"/>
    <w:rsid w:val="00CC2106"/>
    <w:rsid w:val="00CC341C"/>
    <w:rsid w:val="00CC73DE"/>
    <w:rsid w:val="00CF40CC"/>
    <w:rsid w:val="00CF48CF"/>
    <w:rsid w:val="00D10828"/>
    <w:rsid w:val="00D14960"/>
    <w:rsid w:val="00D2578A"/>
    <w:rsid w:val="00D33256"/>
    <w:rsid w:val="00D415B4"/>
    <w:rsid w:val="00D44F6E"/>
    <w:rsid w:val="00D47AA6"/>
    <w:rsid w:val="00D52FA4"/>
    <w:rsid w:val="00D56C9B"/>
    <w:rsid w:val="00D61897"/>
    <w:rsid w:val="00D620D3"/>
    <w:rsid w:val="00D628C2"/>
    <w:rsid w:val="00D6329A"/>
    <w:rsid w:val="00D635F5"/>
    <w:rsid w:val="00D676A4"/>
    <w:rsid w:val="00D73A97"/>
    <w:rsid w:val="00D8140C"/>
    <w:rsid w:val="00D81CA1"/>
    <w:rsid w:val="00D83474"/>
    <w:rsid w:val="00D85523"/>
    <w:rsid w:val="00D87920"/>
    <w:rsid w:val="00D917CC"/>
    <w:rsid w:val="00D95F6A"/>
    <w:rsid w:val="00D96DDD"/>
    <w:rsid w:val="00D97BC7"/>
    <w:rsid w:val="00DA13F7"/>
    <w:rsid w:val="00DA1800"/>
    <w:rsid w:val="00DA390C"/>
    <w:rsid w:val="00DB035F"/>
    <w:rsid w:val="00DB2D47"/>
    <w:rsid w:val="00DB3EED"/>
    <w:rsid w:val="00DB7F7C"/>
    <w:rsid w:val="00DC1C22"/>
    <w:rsid w:val="00DC2474"/>
    <w:rsid w:val="00DC273B"/>
    <w:rsid w:val="00DC33F3"/>
    <w:rsid w:val="00DC3CFC"/>
    <w:rsid w:val="00DC5055"/>
    <w:rsid w:val="00DC6EEB"/>
    <w:rsid w:val="00DE1696"/>
    <w:rsid w:val="00DE1BCE"/>
    <w:rsid w:val="00DE418E"/>
    <w:rsid w:val="00DE44C5"/>
    <w:rsid w:val="00DE7962"/>
    <w:rsid w:val="00DF7083"/>
    <w:rsid w:val="00E05E3A"/>
    <w:rsid w:val="00E06DB5"/>
    <w:rsid w:val="00E07211"/>
    <w:rsid w:val="00E07758"/>
    <w:rsid w:val="00E13D54"/>
    <w:rsid w:val="00E1629E"/>
    <w:rsid w:val="00E172F1"/>
    <w:rsid w:val="00E2672B"/>
    <w:rsid w:val="00E33B43"/>
    <w:rsid w:val="00E37A8A"/>
    <w:rsid w:val="00E4144A"/>
    <w:rsid w:val="00E4440B"/>
    <w:rsid w:val="00E47C7A"/>
    <w:rsid w:val="00E541A4"/>
    <w:rsid w:val="00E862EB"/>
    <w:rsid w:val="00E95199"/>
    <w:rsid w:val="00EA4345"/>
    <w:rsid w:val="00EA5E86"/>
    <w:rsid w:val="00EB0BF7"/>
    <w:rsid w:val="00EB0E9A"/>
    <w:rsid w:val="00EB246D"/>
    <w:rsid w:val="00EB6280"/>
    <w:rsid w:val="00EC5A16"/>
    <w:rsid w:val="00EE4618"/>
    <w:rsid w:val="00EF7E85"/>
    <w:rsid w:val="00F10023"/>
    <w:rsid w:val="00F10D59"/>
    <w:rsid w:val="00F17015"/>
    <w:rsid w:val="00F26DCD"/>
    <w:rsid w:val="00F34D23"/>
    <w:rsid w:val="00F36074"/>
    <w:rsid w:val="00F40BF1"/>
    <w:rsid w:val="00F43AFA"/>
    <w:rsid w:val="00F45DBE"/>
    <w:rsid w:val="00F522D4"/>
    <w:rsid w:val="00F53223"/>
    <w:rsid w:val="00F53277"/>
    <w:rsid w:val="00F55235"/>
    <w:rsid w:val="00F6015A"/>
    <w:rsid w:val="00F61B2A"/>
    <w:rsid w:val="00F669EA"/>
    <w:rsid w:val="00F70E20"/>
    <w:rsid w:val="00F75E40"/>
    <w:rsid w:val="00F81D9B"/>
    <w:rsid w:val="00F92058"/>
    <w:rsid w:val="00F93D52"/>
    <w:rsid w:val="00F96C21"/>
    <w:rsid w:val="00FA091D"/>
    <w:rsid w:val="00FA3A4B"/>
    <w:rsid w:val="00FD1697"/>
    <w:rsid w:val="00FE7FC3"/>
    <w:rsid w:val="03F4AAFF"/>
    <w:rsid w:val="050113EE"/>
    <w:rsid w:val="072C4BC1"/>
    <w:rsid w:val="095EEEB9"/>
    <w:rsid w:val="099CEF0B"/>
    <w:rsid w:val="0C0E6AE6"/>
    <w:rsid w:val="1096146E"/>
    <w:rsid w:val="1466C00B"/>
    <w:rsid w:val="1786378A"/>
    <w:rsid w:val="1AFEA6FD"/>
    <w:rsid w:val="1B54AAE3"/>
    <w:rsid w:val="1B6DD340"/>
    <w:rsid w:val="1D3EA07B"/>
    <w:rsid w:val="1E472571"/>
    <w:rsid w:val="1F1D06F7"/>
    <w:rsid w:val="1F3C4699"/>
    <w:rsid w:val="2DFE58B3"/>
    <w:rsid w:val="32CC6129"/>
    <w:rsid w:val="3364A5BB"/>
    <w:rsid w:val="337DCE18"/>
    <w:rsid w:val="3415897D"/>
    <w:rsid w:val="36B56EDA"/>
    <w:rsid w:val="3808EC3C"/>
    <w:rsid w:val="38E811D2"/>
    <w:rsid w:val="3AD666DE"/>
    <w:rsid w:val="3AE07867"/>
    <w:rsid w:val="4382B70B"/>
    <w:rsid w:val="4B8DC8F0"/>
    <w:rsid w:val="4D1070F4"/>
    <w:rsid w:val="4E51E1AA"/>
    <w:rsid w:val="502DF46B"/>
    <w:rsid w:val="5216ED81"/>
    <w:rsid w:val="52887C0A"/>
    <w:rsid w:val="54A9CAD1"/>
    <w:rsid w:val="5B75BB2B"/>
    <w:rsid w:val="5CD38A26"/>
    <w:rsid w:val="601916BE"/>
    <w:rsid w:val="61665887"/>
    <w:rsid w:val="62EDC8D4"/>
    <w:rsid w:val="665C0401"/>
    <w:rsid w:val="6834AED9"/>
    <w:rsid w:val="6933D870"/>
    <w:rsid w:val="6A48DFC5"/>
    <w:rsid w:val="6AFD2B5E"/>
    <w:rsid w:val="6B8FAD50"/>
    <w:rsid w:val="70CD48B8"/>
    <w:rsid w:val="71517ADA"/>
    <w:rsid w:val="7314B5AB"/>
    <w:rsid w:val="734F0313"/>
    <w:rsid w:val="75937FF2"/>
    <w:rsid w:val="77A9D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216E"/>
  <w15:chartTrackingRefBased/>
  <w15:docId w15:val="{4AC865AA-C407-4116-8796-C561CC07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529F8"/>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1F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1F4E"/>
    <w:rPr>
      <w:b/>
      <w:bCs/>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Párrafo de lista,Table bullet"/>
    <w:basedOn w:val="Normal"/>
    <w:link w:val="ListParagraphChar"/>
    <w:uiPriority w:val="34"/>
    <w:qFormat/>
    <w:rsid w:val="00125A8C"/>
    <w:pPr>
      <w:ind w:left="720"/>
      <w:contextualSpacing/>
    </w:pPr>
  </w:style>
  <w:style w:type="table" w:styleId="TableGrid">
    <w:name w:val="Table Grid"/>
    <w:basedOn w:val="TableNormal"/>
    <w:uiPriority w:val="39"/>
    <w:rsid w:val="002E5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tref,Texto de nota al pie,footnote number Char Char Char Char Char Char Char Char Char Char Char Char Char Char Char,BVI fnr Char Char Char Char Char Char Char Char Char Char Char Char Char Char Char,footnote number Char,BVI fnr"/>
    <w:basedOn w:val="DefaultParagraphFont"/>
    <w:uiPriority w:val="99"/>
    <w:unhideWhenUsed/>
    <w:rsid w:val="00867851"/>
    <w:rPr>
      <w:vertAlign w:val="superscript"/>
    </w:rPr>
  </w:style>
  <w:style w:type="paragraph" w:styleId="Header">
    <w:name w:val="header"/>
    <w:basedOn w:val="Normal"/>
    <w:link w:val="HeaderChar"/>
    <w:uiPriority w:val="99"/>
    <w:unhideWhenUsed/>
    <w:rsid w:val="002F1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D0"/>
    <w:rPr>
      <w:rFonts w:ascii="Calibri" w:eastAsia="Calibri" w:hAnsi="Calibri" w:cs="Calibri"/>
    </w:rPr>
  </w:style>
  <w:style w:type="paragraph" w:styleId="Footer">
    <w:name w:val="footer"/>
    <w:basedOn w:val="Normal"/>
    <w:link w:val="FooterChar"/>
    <w:uiPriority w:val="99"/>
    <w:unhideWhenUsed/>
    <w:rsid w:val="002F1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D0"/>
    <w:rPr>
      <w:rFonts w:ascii="Calibri" w:eastAsia="Calibri" w:hAnsi="Calibri" w:cs="Calibri"/>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qFormat/>
    <w:locked/>
    <w:rsid w:val="002F13D0"/>
    <w:rPr>
      <w:rFonts w:ascii="Calibri" w:eastAsia="Calibri" w:hAnsi="Calibri" w:cs="Calibri"/>
    </w:rPr>
  </w:style>
  <w:style w:type="character" w:styleId="CommentReference">
    <w:name w:val="annotation reference"/>
    <w:basedOn w:val="DefaultParagraphFont"/>
    <w:uiPriority w:val="99"/>
    <w:semiHidden/>
    <w:unhideWhenUsed/>
    <w:rsid w:val="00D52FA4"/>
    <w:rPr>
      <w:sz w:val="16"/>
      <w:szCs w:val="16"/>
    </w:rPr>
  </w:style>
  <w:style w:type="paragraph" w:styleId="CommentText">
    <w:name w:val="annotation text"/>
    <w:basedOn w:val="Normal"/>
    <w:link w:val="CommentTextChar"/>
    <w:uiPriority w:val="99"/>
    <w:semiHidden/>
    <w:unhideWhenUsed/>
    <w:rsid w:val="00D52FA4"/>
    <w:pPr>
      <w:spacing w:line="240" w:lineRule="auto"/>
    </w:pPr>
    <w:rPr>
      <w:sz w:val="20"/>
      <w:szCs w:val="20"/>
    </w:rPr>
  </w:style>
  <w:style w:type="character" w:customStyle="1" w:styleId="CommentTextChar">
    <w:name w:val="Comment Text Char"/>
    <w:basedOn w:val="DefaultParagraphFont"/>
    <w:link w:val="CommentText"/>
    <w:uiPriority w:val="99"/>
    <w:semiHidden/>
    <w:rsid w:val="00D52FA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52FA4"/>
    <w:rPr>
      <w:b/>
      <w:bCs/>
    </w:rPr>
  </w:style>
  <w:style w:type="character" w:customStyle="1" w:styleId="CommentSubjectChar">
    <w:name w:val="Comment Subject Char"/>
    <w:basedOn w:val="CommentTextChar"/>
    <w:link w:val="CommentSubject"/>
    <w:uiPriority w:val="99"/>
    <w:semiHidden/>
    <w:rsid w:val="00D52FA4"/>
    <w:rPr>
      <w:rFonts w:ascii="Calibri" w:eastAsia="Calibri" w:hAnsi="Calibri" w:cs="Calibri"/>
      <w:b/>
      <w:bCs/>
      <w:sz w:val="20"/>
      <w:szCs w:val="20"/>
    </w:rPr>
  </w:style>
  <w:style w:type="paragraph" w:styleId="Revision">
    <w:name w:val="Revision"/>
    <w:hidden/>
    <w:uiPriority w:val="99"/>
    <w:semiHidden/>
    <w:rsid w:val="0099356E"/>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77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539BD1588B074F94C31E3D50DCF215" ma:contentTypeVersion="16" ma:contentTypeDescription="Create a new document." ma:contentTypeScope="" ma:versionID="7d63bfe12986f5c81744447bc76df29d">
  <xsd:schema xmlns:xsd="http://www.w3.org/2001/XMLSchema" xmlns:xs="http://www.w3.org/2001/XMLSchema" xmlns:p="http://schemas.microsoft.com/office/2006/metadata/properties" xmlns:ns2="4e0316ce-b060-4817-b5f5-6985416301e8" xmlns:ns3="3d2dd2c6-932b-4822-9dbd-d0669e617e0f" targetNamespace="http://schemas.microsoft.com/office/2006/metadata/properties" ma:root="true" ma:fieldsID="eb8491faf845944e342a89b25806860f" ns2:_="" ns3:_="">
    <xsd:import namespace="4e0316ce-b060-4817-b5f5-6985416301e8"/>
    <xsd:import namespace="3d2dd2c6-932b-4822-9dbd-d0669e617e0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name" minOccurs="0"/>
                <xsd:element ref="ns2:MediaServiceObjectDetectorVersions" minOccurs="0"/>
                <xsd:element ref="ns2:Indicator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316ce-b060-4817-b5f5-698541630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name" ma:index="21" nillable="true" ma:displayName="name " ma:description="description " ma:format="Dropdown" ma:internalName="name">
      <xsd:simpleType>
        <xsd:restriction base="dms:Text">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Indicator_x0023_" ma:index="23" nillable="true" ma:displayName="Indicator #" ma:format="Dropdown" ma:internalName="Indicator_x0023_"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3d2dd2c6-932b-4822-9dbd-d0669e617e0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5fdacb1-eb0e-4de5-b9a0-28a7d25dd21d}" ma:internalName="TaxCatchAll" ma:showField="CatchAllData" ma:web="3d2dd2c6-932b-4822-9dbd-d0669e61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ame xmlns="4e0316ce-b060-4817-b5f5-6985416301e8" xsi:nil="true"/>
    <TaxCatchAll xmlns="3d2dd2c6-932b-4822-9dbd-d0669e617e0f" xsi:nil="true"/>
    <lcf76f155ced4ddcb4097134ff3c332f xmlns="4e0316ce-b060-4817-b5f5-6985416301e8">
      <Terms xmlns="http://schemas.microsoft.com/office/infopath/2007/PartnerControls"/>
    </lcf76f155ced4ddcb4097134ff3c332f>
    <Indicator_x0023_ xmlns="4e0316ce-b060-4817-b5f5-6985416301e8" xsi:nil="true"/>
  </documentManagement>
</p:properties>
</file>

<file path=customXml/itemProps1.xml><?xml version="1.0" encoding="utf-8"?>
<ds:datastoreItem xmlns:ds="http://schemas.openxmlformats.org/officeDocument/2006/customXml" ds:itemID="{89B650B9-B119-4D61-A25B-837EB8691A06}"/>
</file>

<file path=customXml/itemProps2.xml><?xml version="1.0" encoding="utf-8"?>
<ds:datastoreItem xmlns:ds="http://schemas.openxmlformats.org/officeDocument/2006/customXml" ds:itemID="{F61BFF80-37C8-49B4-AC17-CDC4BF0BB362}">
  <ds:schemaRefs>
    <ds:schemaRef ds:uri="http://schemas.microsoft.com/sharepoint/v3/contenttype/forms"/>
  </ds:schemaRefs>
</ds:datastoreItem>
</file>

<file path=customXml/itemProps3.xml><?xml version="1.0" encoding="utf-8"?>
<ds:datastoreItem xmlns:ds="http://schemas.openxmlformats.org/officeDocument/2006/customXml" ds:itemID="{B7B8D86A-5F63-445A-A9B0-7A6030821AFC}">
  <ds:schemaRefs>
    <ds:schemaRef ds:uri="http://schemas.microsoft.com/office/2006/metadata/properties"/>
    <ds:schemaRef ds:uri="http://schemas.microsoft.com/office/infopath/2007/PartnerControls"/>
    <ds:schemaRef ds:uri="4e0316ce-b060-4817-b5f5-6985416301e8"/>
    <ds:schemaRef ds:uri="3d2dd2c6-932b-4822-9dbd-d0669e617e0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Laki Gideon</dc:creator>
  <cp:keywords/>
  <dc:description/>
  <cp:lastModifiedBy>liza zhernokleyeva</cp:lastModifiedBy>
  <cp:revision>3</cp:revision>
  <cp:lastPrinted>2023-09-13T18:18:00Z</cp:lastPrinted>
  <dcterms:created xsi:type="dcterms:W3CDTF">2023-10-23T18:52:00Z</dcterms:created>
  <dcterms:modified xsi:type="dcterms:W3CDTF">2023-10-24T13:05:00Z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0x010100EA539BD1588B074F94C31E3D50DCF215</vt:lpwstr>
  </property>
  <property fmtid="{D5CDD505-2E9C-101B-9397-08002B2CF9AE}" pid="3" name="MediaServiceImageTags">
    <vt:lpwstr/>
  </property>
</Properties>
</file>