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0230" w14:textId="77777777" w:rsidR="00607D05" w:rsidRPr="008E199B" w:rsidRDefault="000F1CAD" w:rsidP="008E199B">
      <w:pPr>
        <w:spacing w:after="160" w:line="310" w:lineRule="auto"/>
        <w:jc w:val="center"/>
        <w:rPr>
          <w:b/>
          <w:color w:val="D01D2B"/>
          <w:sz w:val="32"/>
          <w:szCs w:val="32"/>
        </w:rPr>
      </w:pPr>
      <w:r>
        <w:rPr>
          <w:b/>
          <w:color w:val="D01D2B"/>
          <w:sz w:val="32"/>
          <w:szCs w:val="32"/>
        </w:rPr>
        <w:t>QUALITY CONTROL PLAN</w:t>
      </w:r>
    </w:p>
    <w:tbl>
      <w:tblPr>
        <w:tblStyle w:val="a"/>
        <w:tblW w:w="9300" w:type="dxa"/>
        <w:tblInd w:w="100" w:type="dxa"/>
        <w:tblLayout w:type="fixed"/>
        <w:tblLook w:val="0600" w:firstRow="0" w:lastRow="0" w:firstColumn="0" w:lastColumn="0" w:noHBand="1" w:noVBand="1"/>
      </w:tblPr>
      <w:tblGrid>
        <w:gridCol w:w="4635"/>
        <w:gridCol w:w="4665"/>
      </w:tblGrid>
      <w:tr w:rsidR="00607D05" w14:paraId="30FB1360" w14:textId="77777777">
        <w:trPr>
          <w:trHeight w:val="480"/>
        </w:trPr>
        <w:tc>
          <w:tcPr>
            <w:tcW w:w="463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024B192" w14:textId="7852B623" w:rsidR="00607D05" w:rsidRDefault="00A758A6">
            <w:pPr>
              <w:spacing w:after="0" w:line="288" w:lineRule="auto"/>
              <w:rPr>
                <w:b/>
              </w:rPr>
            </w:pPr>
            <w:r>
              <w:rPr>
                <w:b/>
              </w:rPr>
              <w:t xml:space="preserve">PR </w:t>
            </w:r>
            <w:r w:rsidR="000F1CAD">
              <w:rPr>
                <w:b/>
              </w:rPr>
              <w:t>#:</w:t>
            </w:r>
            <w:r w:rsidR="00D11691">
              <w:rPr>
                <w:b/>
              </w:rPr>
              <w:t xml:space="preserve"> </w:t>
            </w:r>
            <w:r w:rsidR="0099512B">
              <w:rPr>
                <w:b/>
              </w:rPr>
              <w:t>JUB-3627</w:t>
            </w:r>
          </w:p>
        </w:tc>
        <w:tc>
          <w:tcPr>
            <w:tcW w:w="466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2ABD087B" w14:textId="4D7C47BD" w:rsidR="00607D05" w:rsidRDefault="000F1CAD" w:rsidP="00D11691">
            <w:pPr>
              <w:spacing w:after="0" w:line="288" w:lineRule="auto"/>
              <w:rPr>
                <w:b/>
              </w:rPr>
            </w:pPr>
            <w:r>
              <w:rPr>
                <w:b/>
              </w:rPr>
              <w:t>Tender #:</w:t>
            </w:r>
            <w:r w:rsidR="001A2F54">
              <w:rPr>
                <w:b/>
              </w:rPr>
              <w:t xml:space="preserve"> </w:t>
            </w:r>
            <w:r w:rsidR="0099512B">
              <w:rPr>
                <w:b/>
              </w:rPr>
              <w:t>JUB-0068</w:t>
            </w:r>
          </w:p>
        </w:tc>
      </w:tr>
      <w:tr w:rsidR="00607D05" w14:paraId="7EDBAC9D" w14:textId="77777777">
        <w:trPr>
          <w:trHeight w:val="480"/>
        </w:trPr>
        <w:tc>
          <w:tcPr>
            <w:tcW w:w="9300"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2B2328A9" w14:textId="0143288C" w:rsidR="00607D05" w:rsidRDefault="000F1CAD">
            <w:pPr>
              <w:spacing w:after="0" w:line="288" w:lineRule="auto"/>
              <w:rPr>
                <w:b/>
              </w:rPr>
            </w:pPr>
            <w:r w:rsidRPr="0099512B">
              <w:rPr>
                <w:b/>
                <w:sz w:val="18"/>
                <w:szCs w:val="18"/>
              </w:rPr>
              <w:t>PR/MAR Description:</w:t>
            </w:r>
            <w:r w:rsidR="001A2F54" w:rsidRPr="0099512B">
              <w:rPr>
                <w:bCs/>
                <w:sz w:val="18"/>
                <w:szCs w:val="18"/>
              </w:rPr>
              <w:t xml:space="preserve"> </w:t>
            </w:r>
            <w:r w:rsidR="0099512B" w:rsidRPr="0099512B">
              <w:rPr>
                <w:rFonts w:ascii="Times New Roman" w:eastAsia="Times New Roman" w:hAnsi="Times New Roman" w:cs="Times New Roman"/>
                <w:bCs/>
                <w:color w:val="000000"/>
                <w:sz w:val="20"/>
                <w:szCs w:val="20"/>
              </w:rPr>
              <w:t xml:space="preserve">Provision of health insurance service to Mercy Corps national staff in Juba office, Bentiu field office, Koch field office, </w:t>
            </w:r>
            <w:proofErr w:type="spellStart"/>
            <w:r w:rsidR="0099512B" w:rsidRPr="0099512B">
              <w:rPr>
                <w:rFonts w:ascii="Times New Roman" w:eastAsia="Times New Roman" w:hAnsi="Times New Roman" w:cs="Times New Roman"/>
                <w:bCs/>
                <w:color w:val="000000"/>
                <w:sz w:val="20"/>
                <w:szCs w:val="20"/>
              </w:rPr>
              <w:t>Ganyiel</w:t>
            </w:r>
            <w:proofErr w:type="spellEnd"/>
            <w:r w:rsidR="0099512B" w:rsidRPr="0099512B">
              <w:rPr>
                <w:rFonts w:ascii="Times New Roman" w:eastAsia="Times New Roman" w:hAnsi="Times New Roman" w:cs="Times New Roman"/>
                <w:bCs/>
                <w:color w:val="000000"/>
                <w:sz w:val="20"/>
                <w:szCs w:val="20"/>
              </w:rPr>
              <w:t xml:space="preserve"> field office, </w:t>
            </w:r>
            <w:proofErr w:type="spellStart"/>
            <w:r w:rsidR="0099512B" w:rsidRPr="0099512B">
              <w:rPr>
                <w:rFonts w:ascii="Times New Roman" w:eastAsia="Times New Roman" w:hAnsi="Times New Roman" w:cs="Times New Roman"/>
                <w:bCs/>
                <w:color w:val="000000"/>
                <w:sz w:val="20"/>
                <w:szCs w:val="20"/>
              </w:rPr>
              <w:t>Nyal</w:t>
            </w:r>
            <w:proofErr w:type="spellEnd"/>
            <w:r w:rsidR="0099512B" w:rsidRPr="0099512B">
              <w:rPr>
                <w:rFonts w:ascii="Times New Roman" w:eastAsia="Times New Roman" w:hAnsi="Times New Roman" w:cs="Times New Roman"/>
                <w:bCs/>
                <w:color w:val="000000"/>
                <w:sz w:val="20"/>
                <w:szCs w:val="20"/>
              </w:rPr>
              <w:t xml:space="preserve"> field office and </w:t>
            </w:r>
            <w:proofErr w:type="spellStart"/>
            <w:r w:rsidR="0099512B" w:rsidRPr="0099512B">
              <w:rPr>
                <w:rFonts w:ascii="Times New Roman" w:eastAsia="Times New Roman" w:hAnsi="Times New Roman" w:cs="Times New Roman"/>
                <w:bCs/>
                <w:color w:val="000000"/>
                <w:sz w:val="20"/>
                <w:szCs w:val="20"/>
              </w:rPr>
              <w:t>Mundri</w:t>
            </w:r>
            <w:proofErr w:type="spellEnd"/>
            <w:r w:rsidR="0099512B" w:rsidRPr="0099512B">
              <w:rPr>
                <w:rFonts w:ascii="Times New Roman" w:eastAsia="Times New Roman" w:hAnsi="Times New Roman" w:cs="Times New Roman"/>
                <w:bCs/>
                <w:color w:val="000000"/>
                <w:sz w:val="20"/>
                <w:szCs w:val="20"/>
              </w:rPr>
              <w:t xml:space="preserve"> field office</w:t>
            </w:r>
          </w:p>
        </w:tc>
      </w:tr>
    </w:tbl>
    <w:p w14:paraId="40D2BC3A" w14:textId="3D3EEC24" w:rsidR="00D11691" w:rsidRDefault="00D11691" w:rsidP="00D11691">
      <w:bookmarkStart w:id="0" w:name="_xlmjvmw7qh98" w:colFirst="0" w:colLast="0"/>
      <w:bookmarkEnd w:id="0"/>
    </w:p>
    <w:p w14:paraId="31F5E9E9" w14:textId="421B5866" w:rsidR="00E74204" w:rsidRDefault="00E74204" w:rsidP="00D11691"/>
    <w:p w14:paraId="2E1B2935" w14:textId="63089C29" w:rsidR="00E74204" w:rsidRDefault="00E74204" w:rsidP="00D11691"/>
    <w:p w14:paraId="5C5BBCCA" w14:textId="466680CD" w:rsidR="00E74204" w:rsidRDefault="00E74204" w:rsidP="00D11691"/>
    <w:p w14:paraId="65681622" w14:textId="6525F223" w:rsidR="00E74204" w:rsidRDefault="00E74204" w:rsidP="00D11691"/>
    <w:p w14:paraId="7BC7161B" w14:textId="1FA81182" w:rsidR="00E74204" w:rsidRDefault="00E74204" w:rsidP="00D11691"/>
    <w:p w14:paraId="0DB459E8" w14:textId="5AE9DD2A" w:rsidR="00E74204" w:rsidRDefault="00E74204" w:rsidP="00D11691"/>
    <w:p w14:paraId="58D683D3" w14:textId="388C2140" w:rsidR="00E74204" w:rsidRDefault="00E74204" w:rsidP="00D11691"/>
    <w:p w14:paraId="72E467CB" w14:textId="3F6EC4E4" w:rsidR="00E74204" w:rsidRDefault="00E74204" w:rsidP="00D11691"/>
    <w:p w14:paraId="17843945" w14:textId="4695C8C2" w:rsidR="00E74204" w:rsidRDefault="00E74204" w:rsidP="00D11691"/>
    <w:p w14:paraId="7B439942" w14:textId="6B5B708F" w:rsidR="00E74204" w:rsidRDefault="00E74204" w:rsidP="00D11691"/>
    <w:p w14:paraId="2DFA1A42" w14:textId="6ECE16A3" w:rsidR="00E74204" w:rsidRDefault="00E74204" w:rsidP="00D11691"/>
    <w:p w14:paraId="7347620C" w14:textId="148969DD" w:rsidR="00E74204" w:rsidRDefault="00E74204" w:rsidP="00D11691"/>
    <w:p w14:paraId="76AEEE5E" w14:textId="2FFB76FF" w:rsidR="00E74204" w:rsidRDefault="00E74204" w:rsidP="00D11691"/>
    <w:p w14:paraId="5D10EF60" w14:textId="6DBC0E70" w:rsidR="00E74204" w:rsidRDefault="00E74204" w:rsidP="00D11691"/>
    <w:p w14:paraId="6282D359" w14:textId="4FF2F67E" w:rsidR="00E74204" w:rsidRDefault="00E74204" w:rsidP="00D11691"/>
    <w:p w14:paraId="36E70E99" w14:textId="5927E0B7" w:rsidR="00E74204" w:rsidRDefault="00E74204" w:rsidP="00D11691"/>
    <w:p w14:paraId="69E4C437" w14:textId="084855DD" w:rsidR="00E74204" w:rsidRDefault="00E74204" w:rsidP="00D11691"/>
    <w:p w14:paraId="0ADAC1E0" w14:textId="77777777" w:rsidR="00E74204" w:rsidRPr="00D11691" w:rsidRDefault="00E74204" w:rsidP="00D11691"/>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07D05" w14:paraId="6A32579C" w14:textId="77777777">
        <w:tc>
          <w:tcPr>
            <w:tcW w:w="9360" w:type="dxa"/>
            <w:shd w:val="clear" w:color="auto" w:fill="auto"/>
            <w:tcMar>
              <w:top w:w="100" w:type="dxa"/>
              <w:left w:w="100" w:type="dxa"/>
              <w:bottom w:w="100" w:type="dxa"/>
              <w:right w:w="100" w:type="dxa"/>
            </w:tcMar>
          </w:tcPr>
          <w:p w14:paraId="5D41C102" w14:textId="14A9F5FC" w:rsidR="00607D05" w:rsidRDefault="0099512B">
            <w:pPr>
              <w:pStyle w:val="Heading1"/>
              <w:widowControl w:val="0"/>
              <w:spacing w:before="0" w:after="0" w:line="240" w:lineRule="auto"/>
              <w:rPr>
                <w:sz w:val="28"/>
                <w:szCs w:val="28"/>
              </w:rPr>
            </w:pPr>
            <w:r>
              <w:rPr>
                <w:sz w:val="28"/>
                <w:szCs w:val="28"/>
              </w:rPr>
              <w:lastRenderedPageBreak/>
              <w:t>Es</w:t>
            </w:r>
            <w:r w:rsidR="000F1CAD">
              <w:rPr>
                <w:sz w:val="28"/>
                <w:szCs w:val="28"/>
              </w:rPr>
              <w:t>sential Specifications and Testing Requirements</w:t>
            </w:r>
          </w:p>
          <w:p w14:paraId="3E965673" w14:textId="77777777" w:rsidR="001A2F54" w:rsidRPr="001A2F54" w:rsidRDefault="001A2F54" w:rsidP="001A2F54">
            <w:pPr>
              <w:widowControl w:val="0"/>
              <w:spacing w:after="0" w:line="240" w:lineRule="auto"/>
              <w:rPr>
                <w:lang w:val="en-US"/>
              </w:rPr>
            </w:pPr>
            <w:r w:rsidRPr="001A2F54">
              <w:rPr>
                <w:lang w:val="en-US"/>
              </w:rPr>
              <w:t xml:space="preserve">The Quality Control (QC) Plan below details the procedures that will be used to assess the suitability and acceptability of the Insurance Cover services to be offered by prospective bidders. The QC will help determine whether the bidder that is selected is responsive to the tender and is qualified to perform the contract satisfactorily. The QC plan will seek set standards that will ensure that controls are in place from the point of submission of bids, and evaluation, pre-contracting phase and during the course of delivery of services after the award of the contract. </w:t>
            </w:r>
          </w:p>
          <w:p w14:paraId="287F42C2" w14:textId="77777777" w:rsidR="001A2F54" w:rsidRPr="001A2F54" w:rsidRDefault="001A2F54" w:rsidP="001A2F54">
            <w:pPr>
              <w:widowControl w:val="0"/>
              <w:spacing w:after="0" w:line="240" w:lineRule="auto"/>
              <w:rPr>
                <w:lang w:val="en-US"/>
              </w:rPr>
            </w:pPr>
            <w:r w:rsidRPr="001A2F54">
              <w:rPr>
                <w:lang w:val="en-US"/>
              </w:rPr>
              <w:t xml:space="preserve">Below is the specification of standards that will be put in place as part of the QC: </w:t>
            </w:r>
          </w:p>
          <w:p w14:paraId="3530E32B" w14:textId="77777777" w:rsidR="001A2F54" w:rsidRPr="001A2F54" w:rsidRDefault="001A2F54" w:rsidP="001A2F54">
            <w:pPr>
              <w:widowControl w:val="0"/>
              <w:numPr>
                <w:ilvl w:val="0"/>
                <w:numId w:val="4"/>
              </w:numPr>
              <w:spacing w:after="0" w:line="240" w:lineRule="auto"/>
              <w:rPr>
                <w:lang w:val="en-US"/>
              </w:rPr>
            </w:pPr>
            <w:r w:rsidRPr="001A2F54">
              <w:rPr>
                <w:lang w:val="en-US"/>
              </w:rPr>
              <w:t xml:space="preserve">Submission of Tenders: During the submission of tenders, the following standards shall be ensured: </w:t>
            </w:r>
          </w:p>
          <w:p w14:paraId="2F87C888" w14:textId="33F9A173" w:rsidR="001A2F54" w:rsidRPr="001A2F54" w:rsidRDefault="001A2F54" w:rsidP="001A2F54">
            <w:pPr>
              <w:widowControl w:val="0"/>
              <w:numPr>
                <w:ilvl w:val="1"/>
                <w:numId w:val="4"/>
              </w:numPr>
              <w:spacing w:after="0" w:line="240" w:lineRule="auto"/>
              <w:rPr>
                <w:lang w:val="en-US"/>
              </w:rPr>
            </w:pPr>
            <w:r w:rsidRPr="001A2F54">
              <w:rPr>
                <w:lang w:val="en-US"/>
              </w:rPr>
              <w:t xml:space="preserve">All Tenders must be submitted in </w:t>
            </w:r>
            <w:r w:rsidR="00456A81">
              <w:rPr>
                <w:lang w:val="en-US"/>
              </w:rPr>
              <w:t>electronically to the email address provided</w:t>
            </w:r>
            <w:r w:rsidRPr="001A2F54">
              <w:rPr>
                <w:lang w:val="en-US"/>
              </w:rPr>
              <w:t xml:space="preserve">. The </w:t>
            </w:r>
            <w:r w:rsidR="00456A81">
              <w:rPr>
                <w:lang w:val="en-US"/>
              </w:rPr>
              <w:t>bid</w:t>
            </w:r>
            <w:r w:rsidRPr="001A2F54">
              <w:rPr>
                <w:lang w:val="en-US"/>
              </w:rPr>
              <w:t xml:space="preserve"> must clearly bear the tender number and name in the invitation to tender.</w:t>
            </w:r>
          </w:p>
          <w:p w14:paraId="0724D011" w14:textId="7559F9D3" w:rsidR="001A2F54" w:rsidRPr="001A2F54" w:rsidRDefault="001A2F54" w:rsidP="001A2F54">
            <w:pPr>
              <w:widowControl w:val="0"/>
              <w:numPr>
                <w:ilvl w:val="1"/>
                <w:numId w:val="4"/>
              </w:numPr>
              <w:spacing w:after="0" w:line="240" w:lineRule="auto"/>
              <w:rPr>
                <w:lang w:val="en-US"/>
              </w:rPr>
            </w:pPr>
            <w:r w:rsidRPr="001A2F54">
              <w:rPr>
                <w:lang w:val="en-US"/>
              </w:rPr>
              <w:t xml:space="preserve"> All Tenders must be received not later tha</w:t>
            </w:r>
            <w:r w:rsidR="0099512B">
              <w:rPr>
                <w:lang w:val="en-US"/>
              </w:rPr>
              <w:t>n</w:t>
            </w:r>
            <w:r w:rsidRPr="001A2F54">
              <w:rPr>
                <w:lang w:val="en-US"/>
              </w:rPr>
              <w:t xml:space="preserve"> the stipulated deadline indicated in the Invitation to Tender. A log for receipt of tenders will be maintained and late tenders will not be considered. </w:t>
            </w:r>
          </w:p>
          <w:p w14:paraId="2A4EDAAB" w14:textId="762923E5" w:rsidR="001A2F54" w:rsidRPr="001A2F54" w:rsidRDefault="001A2F54" w:rsidP="001A2F54">
            <w:pPr>
              <w:widowControl w:val="0"/>
              <w:numPr>
                <w:ilvl w:val="0"/>
                <w:numId w:val="4"/>
              </w:numPr>
              <w:spacing w:after="0" w:line="240" w:lineRule="auto"/>
              <w:rPr>
                <w:lang w:val="en-US"/>
              </w:rPr>
            </w:pPr>
            <w:r w:rsidRPr="001A2F54">
              <w:rPr>
                <w:lang w:val="en-US"/>
              </w:rPr>
              <w:t>Tender Evaluations: This will be based on the examination of the documentary evidence of the bidders’ qualifications submitted by the tenderer to evaluate th</w:t>
            </w:r>
            <w:r w:rsidR="00D11691">
              <w:rPr>
                <w:lang w:val="en-US"/>
              </w:rPr>
              <w:t>e firm’s experience, capacity, capability</w:t>
            </w:r>
            <w:r w:rsidR="0099512B">
              <w:rPr>
                <w:lang w:val="en-US"/>
              </w:rPr>
              <w:t>,</w:t>
            </w:r>
            <w:r w:rsidR="00D11691">
              <w:rPr>
                <w:lang w:val="en-US"/>
              </w:rPr>
              <w:t xml:space="preserve"> available resources to deliver</w:t>
            </w:r>
            <w:r w:rsidRPr="001A2F54">
              <w:rPr>
                <w:lang w:val="en-US"/>
              </w:rPr>
              <w:t xml:space="preserve"> quality of services. It will be based upon the following: </w:t>
            </w:r>
          </w:p>
          <w:p w14:paraId="2E279855" w14:textId="77777777" w:rsidR="001A2F54" w:rsidRPr="001A2F54" w:rsidRDefault="001A2F54" w:rsidP="001A2F54">
            <w:pPr>
              <w:widowControl w:val="0"/>
              <w:numPr>
                <w:ilvl w:val="1"/>
                <w:numId w:val="6"/>
              </w:numPr>
              <w:spacing w:after="0" w:line="240" w:lineRule="auto"/>
              <w:rPr>
                <w:lang w:val="en-US"/>
              </w:rPr>
            </w:pPr>
            <w:r w:rsidRPr="001A2F54">
              <w:rPr>
                <w:lang w:val="en-US"/>
              </w:rPr>
              <w:t>Reference letters from current and past clients for similar services rendered;</w:t>
            </w:r>
          </w:p>
          <w:p w14:paraId="400BAFEC" w14:textId="77777777" w:rsidR="001A2F54" w:rsidRPr="001A2F54" w:rsidRDefault="001A2F54" w:rsidP="001A2F54">
            <w:pPr>
              <w:widowControl w:val="0"/>
              <w:numPr>
                <w:ilvl w:val="1"/>
                <w:numId w:val="6"/>
              </w:numPr>
              <w:spacing w:after="0" w:line="240" w:lineRule="auto"/>
              <w:rPr>
                <w:lang w:val="en-US"/>
              </w:rPr>
            </w:pPr>
            <w:r w:rsidRPr="001A2F54">
              <w:rPr>
                <w:lang w:val="en-US"/>
              </w:rPr>
              <w:t>Client Reference from current clients;</w:t>
            </w:r>
          </w:p>
          <w:p w14:paraId="1B68CFAC" w14:textId="77777777" w:rsidR="001A2F54" w:rsidRPr="001A2F54" w:rsidRDefault="001A2F54" w:rsidP="001A2F54">
            <w:pPr>
              <w:widowControl w:val="0"/>
              <w:numPr>
                <w:ilvl w:val="1"/>
                <w:numId w:val="6"/>
              </w:numPr>
              <w:spacing w:after="0" w:line="240" w:lineRule="auto"/>
              <w:rPr>
                <w:lang w:val="en-US"/>
              </w:rPr>
            </w:pPr>
            <w:r w:rsidRPr="001A2F54">
              <w:rPr>
                <w:lang w:val="en-US"/>
              </w:rPr>
              <w:t>Claims Administration evidenced by reference letters from service providers that bidders engage with;</w:t>
            </w:r>
          </w:p>
          <w:p w14:paraId="1EF3B248" w14:textId="77777777" w:rsidR="001A2F54" w:rsidRPr="001A2F54" w:rsidRDefault="001A2F54" w:rsidP="001A2F54">
            <w:pPr>
              <w:widowControl w:val="0"/>
              <w:numPr>
                <w:ilvl w:val="1"/>
                <w:numId w:val="6"/>
              </w:numPr>
              <w:spacing w:after="0" w:line="240" w:lineRule="auto"/>
              <w:rPr>
                <w:lang w:val="en-US"/>
              </w:rPr>
            </w:pPr>
            <w:r w:rsidRPr="001A2F54">
              <w:rPr>
                <w:lang w:val="en-US"/>
              </w:rPr>
              <w:t>Presentations required of the shortlisted bidders to gain deeper understanding of their bids and seek clarity.</w:t>
            </w:r>
          </w:p>
          <w:p w14:paraId="060B41DC" w14:textId="77777777" w:rsidR="001A2F54" w:rsidRPr="001A2F54" w:rsidRDefault="001A2F54" w:rsidP="001A2F54">
            <w:pPr>
              <w:widowControl w:val="0"/>
              <w:numPr>
                <w:ilvl w:val="0"/>
                <w:numId w:val="4"/>
              </w:numPr>
              <w:spacing w:after="0" w:line="240" w:lineRule="auto"/>
              <w:rPr>
                <w:b/>
                <w:lang w:val="en-US"/>
              </w:rPr>
            </w:pPr>
            <w:r w:rsidRPr="001A2F54">
              <w:rPr>
                <w:lang w:val="en-US"/>
              </w:rPr>
              <w:t>Pre-contracting: Reference checks of the final/selected bidder to ascertain the authenticity of information provided and ensure quality delivery of services. An affirmative determination will be a prerequisite for award of the contract to the tenderer, while a negative determination will result in rejection of the bidder’s tender, in which event the selection team will proceed to the next lowest evaluated tender to make a similar determination of that bidder’s capabilities to perform satisfactorily.</w:t>
            </w:r>
          </w:p>
          <w:p w14:paraId="78EA5642" w14:textId="77777777" w:rsidR="001A2F54" w:rsidRPr="001A2F54" w:rsidRDefault="001A2F54" w:rsidP="001A2F54">
            <w:pPr>
              <w:widowControl w:val="0"/>
              <w:numPr>
                <w:ilvl w:val="0"/>
                <w:numId w:val="4"/>
              </w:numPr>
              <w:spacing w:after="0" w:line="240" w:lineRule="auto"/>
              <w:rPr>
                <w:lang w:val="en-US"/>
              </w:rPr>
            </w:pPr>
            <w:r w:rsidRPr="001A2F54">
              <w:rPr>
                <w:bCs/>
                <w:lang w:val="en-US"/>
              </w:rPr>
              <w:t xml:space="preserve">Award Criteria: The Tender Selection Committee shall </w:t>
            </w:r>
            <w:r w:rsidRPr="001A2F54">
              <w:rPr>
                <w:lang w:val="en-US"/>
              </w:rPr>
              <w:t xml:space="preserve">award the contract to the successful bidder whose tender has been determined to be substantially responsive and provided further that the tenderer is determined to be qualified to perform the contract satisfactorily. To qualify for the contract award, the bidder shall have the following: </w:t>
            </w:r>
          </w:p>
          <w:p w14:paraId="50FC0ACD" w14:textId="2352F0F1" w:rsidR="001A2F54" w:rsidRPr="001A2F54" w:rsidRDefault="001A2F54" w:rsidP="001A2F54">
            <w:pPr>
              <w:widowControl w:val="0"/>
              <w:numPr>
                <w:ilvl w:val="0"/>
                <w:numId w:val="5"/>
              </w:numPr>
              <w:spacing w:after="0" w:line="240" w:lineRule="auto"/>
              <w:rPr>
                <w:lang w:val="en-US"/>
              </w:rPr>
            </w:pPr>
            <w:r w:rsidRPr="001A2F54">
              <w:rPr>
                <w:lang w:val="en-US"/>
              </w:rPr>
              <w:t>Necessary qualifications, capability</w:t>
            </w:r>
            <w:r w:rsidR="0099512B">
              <w:rPr>
                <w:lang w:val="en-US"/>
              </w:rPr>
              <w:t>,</w:t>
            </w:r>
            <w:r w:rsidRPr="001A2F54">
              <w:rPr>
                <w:lang w:val="en-US"/>
              </w:rPr>
              <w:t xml:space="preserve"> experience, services and facilities to provide the services being </w:t>
            </w:r>
            <w:proofErr w:type="gramStart"/>
            <w:r w:rsidRPr="001A2F54">
              <w:rPr>
                <w:lang w:val="en-US"/>
              </w:rPr>
              <w:t>procured;</w:t>
            </w:r>
            <w:proofErr w:type="gramEnd"/>
            <w:r w:rsidRPr="001A2F54">
              <w:rPr>
                <w:lang w:val="en-US"/>
              </w:rPr>
              <w:t xml:space="preserve"> </w:t>
            </w:r>
          </w:p>
          <w:p w14:paraId="703738CE" w14:textId="77777777" w:rsidR="001A2F54" w:rsidRPr="001A2F54" w:rsidRDefault="001A2F54" w:rsidP="001A2F54">
            <w:pPr>
              <w:widowControl w:val="0"/>
              <w:numPr>
                <w:ilvl w:val="0"/>
                <w:numId w:val="5"/>
              </w:numPr>
              <w:spacing w:after="0" w:line="240" w:lineRule="auto"/>
              <w:rPr>
                <w:lang w:val="en-US"/>
              </w:rPr>
            </w:pPr>
            <w:r w:rsidRPr="001A2F54">
              <w:rPr>
                <w:lang w:val="en-US"/>
              </w:rPr>
              <w:t>Legal capacity to enter into a contract for procurement;</w:t>
            </w:r>
          </w:p>
          <w:p w14:paraId="118B2AFA" w14:textId="77777777" w:rsidR="001A2F54" w:rsidRPr="001A2F54" w:rsidRDefault="001A2F54" w:rsidP="001A2F54">
            <w:pPr>
              <w:widowControl w:val="0"/>
              <w:numPr>
                <w:ilvl w:val="0"/>
                <w:numId w:val="5"/>
              </w:numPr>
              <w:spacing w:after="0" w:line="240" w:lineRule="auto"/>
              <w:rPr>
                <w:lang w:val="en-US"/>
              </w:rPr>
            </w:pPr>
            <w:r w:rsidRPr="001A2F54">
              <w:rPr>
                <w:lang w:val="en-US"/>
              </w:rPr>
              <w:t>Shall not be insolvent, in receivership, bankrupt or in the process of being wound up and is not the subject of legal proceedings relating to the foregoing;</w:t>
            </w:r>
          </w:p>
          <w:p w14:paraId="22FC8147" w14:textId="77777777" w:rsidR="001A2F54" w:rsidRPr="001A2F54" w:rsidRDefault="001A2F54" w:rsidP="001A2F54">
            <w:pPr>
              <w:widowControl w:val="0"/>
              <w:numPr>
                <w:ilvl w:val="0"/>
                <w:numId w:val="5"/>
              </w:numPr>
              <w:spacing w:after="0" w:line="240" w:lineRule="auto"/>
              <w:rPr>
                <w:lang w:val="en-US"/>
              </w:rPr>
            </w:pPr>
            <w:r w:rsidRPr="001A2F54">
              <w:rPr>
                <w:lang w:val="en-US"/>
              </w:rPr>
              <w:t xml:space="preserve">Shall not be debarred from participating in public procurement. </w:t>
            </w:r>
          </w:p>
          <w:p w14:paraId="4BF84D12" w14:textId="54AD517F" w:rsidR="001A2F54" w:rsidRPr="001A2F54" w:rsidRDefault="00E234DA" w:rsidP="001A2F54">
            <w:pPr>
              <w:widowControl w:val="0"/>
              <w:numPr>
                <w:ilvl w:val="0"/>
                <w:numId w:val="4"/>
              </w:numPr>
              <w:spacing w:after="0" w:line="240" w:lineRule="auto"/>
              <w:rPr>
                <w:lang w:val="en-US"/>
              </w:rPr>
            </w:pPr>
            <w:r>
              <w:rPr>
                <w:lang w:val="en-US"/>
              </w:rPr>
              <w:t>Master Service Agreement (MSA)</w:t>
            </w:r>
            <w:r w:rsidR="001A2F54" w:rsidRPr="001A2F54">
              <w:rPr>
                <w:lang w:val="en-US"/>
              </w:rPr>
              <w:t xml:space="preserve"> This will have developed based on agreed upon timelines to govern the delivery of services </w:t>
            </w:r>
            <w:proofErr w:type="gramStart"/>
            <w:r w:rsidR="001A2F54" w:rsidRPr="001A2F54">
              <w:rPr>
                <w:lang w:val="en-US"/>
              </w:rPr>
              <w:t>in order to</w:t>
            </w:r>
            <w:proofErr w:type="gramEnd"/>
            <w:r w:rsidR="001A2F54" w:rsidRPr="001A2F54">
              <w:rPr>
                <w:lang w:val="en-US"/>
              </w:rPr>
              <w:t xml:space="preserve"> manage expectations. </w:t>
            </w:r>
          </w:p>
          <w:p w14:paraId="0FB181EF" w14:textId="77777777" w:rsidR="001A2F54" w:rsidRPr="001A2F54" w:rsidRDefault="001A2F54" w:rsidP="001A2F54">
            <w:pPr>
              <w:widowControl w:val="0"/>
              <w:numPr>
                <w:ilvl w:val="0"/>
                <w:numId w:val="4"/>
              </w:numPr>
              <w:spacing w:after="0" w:line="240" w:lineRule="auto"/>
              <w:rPr>
                <w:lang w:val="en-US"/>
              </w:rPr>
            </w:pPr>
            <w:r w:rsidRPr="001A2F54">
              <w:rPr>
                <w:lang w:val="en-US"/>
              </w:rPr>
              <w:t>Dedicated team to manage the scheme: This will be presented based on a mix of the service provider’s technical structure to support management and running of the scheme</w:t>
            </w:r>
          </w:p>
          <w:p w14:paraId="27D271DC" w14:textId="77777777" w:rsidR="001A2F54" w:rsidRPr="001A2F54" w:rsidRDefault="001A2F54" w:rsidP="001A2F54">
            <w:pPr>
              <w:widowControl w:val="0"/>
              <w:numPr>
                <w:ilvl w:val="0"/>
                <w:numId w:val="4"/>
              </w:numPr>
              <w:spacing w:after="0" w:line="240" w:lineRule="auto"/>
              <w:rPr>
                <w:lang w:val="en-US"/>
              </w:rPr>
            </w:pPr>
            <w:r w:rsidRPr="001A2F54">
              <w:rPr>
                <w:lang w:val="en-US"/>
              </w:rPr>
              <w:t>Quarterly Review Meetings and Reports: These will be required to give an indication of the performance and management of the scheme</w:t>
            </w:r>
          </w:p>
          <w:p w14:paraId="4F66DC10" w14:textId="77777777" w:rsidR="001A2F54" w:rsidRPr="001A2F54" w:rsidRDefault="001A2F54" w:rsidP="001A2F54">
            <w:pPr>
              <w:widowControl w:val="0"/>
              <w:numPr>
                <w:ilvl w:val="0"/>
                <w:numId w:val="4"/>
              </w:numPr>
              <w:spacing w:after="0" w:line="240" w:lineRule="auto"/>
              <w:rPr>
                <w:lang w:val="en-US"/>
              </w:rPr>
            </w:pPr>
            <w:r w:rsidRPr="001A2F54">
              <w:rPr>
                <w:lang w:val="en-US"/>
              </w:rPr>
              <w:t>Member monthly utilization reports: these will be used to provide members with checks and balances that billing to respective accounts has been done appropriately as well as an avenue to give feedback for any anomalies</w:t>
            </w:r>
          </w:p>
          <w:p w14:paraId="3815352B" w14:textId="77777777" w:rsidR="001A2F54" w:rsidRPr="001A2F54" w:rsidRDefault="001A2F54" w:rsidP="001A2F54">
            <w:pPr>
              <w:widowControl w:val="0"/>
              <w:numPr>
                <w:ilvl w:val="0"/>
                <w:numId w:val="4"/>
              </w:numPr>
              <w:spacing w:after="0" w:line="240" w:lineRule="auto"/>
              <w:rPr>
                <w:lang w:val="en-US"/>
              </w:rPr>
            </w:pPr>
            <w:r w:rsidRPr="001A2F54">
              <w:rPr>
                <w:lang w:val="en-US"/>
              </w:rPr>
              <w:t xml:space="preserve">Member education: this provides members with information about the details of the scheme and an opportunity to clarify their expectations on the level of service that they </w:t>
            </w:r>
            <w:r w:rsidRPr="001A2F54">
              <w:rPr>
                <w:lang w:val="en-US"/>
              </w:rPr>
              <w:lastRenderedPageBreak/>
              <w:t xml:space="preserve">should expect to receive </w:t>
            </w:r>
          </w:p>
          <w:p w14:paraId="20A586EB" w14:textId="3FF224FE" w:rsidR="001A2F54" w:rsidRPr="001A2F54" w:rsidRDefault="001A2F54" w:rsidP="001A2F54">
            <w:pPr>
              <w:widowControl w:val="0"/>
              <w:numPr>
                <w:ilvl w:val="0"/>
                <w:numId w:val="4"/>
              </w:numPr>
              <w:spacing w:after="0" w:line="240" w:lineRule="auto"/>
              <w:rPr>
                <w:lang w:val="en-US"/>
              </w:rPr>
            </w:pPr>
            <w:r w:rsidRPr="001A2F54">
              <w:rPr>
                <w:lang w:val="en-US"/>
              </w:rPr>
              <w:t>Supplier score card: this will be use</w:t>
            </w:r>
            <w:r w:rsidR="0099512B">
              <w:rPr>
                <w:lang w:val="en-US"/>
              </w:rPr>
              <w:t>d</w:t>
            </w:r>
            <w:r w:rsidRPr="001A2F54">
              <w:rPr>
                <w:lang w:val="en-US"/>
              </w:rPr>
              <w:t xml:space="preserve"> to rate performance and quality of service of the vendor/service provider before the renewal of the scheme</w:t>
            </w:r>
          </w:p>
          <w:p w14:paraId="0935A61D" w14:textId="77777777" w:rsidR="00607D05" w:rsidRDefault="00607D05">
            <w:pPr>
              <w:widowControl w:val="0"/>
              <w:spacing w:after="0" w:line="240" w:lineRule="auto"/>
              <w:jc w:val="both"/>
              <w:rPr>
                <w:color w:val="D01D2B"/>
              </w:rPr>
            </w:pPr>
          </w:p>
        </w:tc>
      </w:tr>
    </w:tbl>
    <w:p w14:paraId="2A6A4F2C" w14:textId="77777777" w:rsidR="00607D05" w:rsidRDefault="00607D05">
      <w:pPr>
        <w:spacing w:after="0"/>
      </w:pPr>
    </w:p>
    <w:p w14:paraId="4B6C1457" w14:textId="77777777" w:rsidR="00607D05" w:rsidRDefault="00607D05">
      <w:pPr>
        <w:spacing w:after="0"/>
      </w:pPr>
    </w:p>
    <w:p w14:paraId="0C5520C8" w14:textId="77777777" w:rsidR="00607D05" w:rsidRDefault="00607D05">
      <w:pPr>
        <w:spacing w:after="0"/>
      </w:pPr>
    </w:p>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07D05" w14:paraId="037D4902" w14:textId="77777777">
        <w:tc>
          <w:tcPr>
            <w:tcW w:w="9360" w:type="dxa"/>
            <w:shd w:val="clear" w:color="auto" w:fill="auto"/>
            <w:tcMar>
              <w:top w:w="100" w:type="dxa"/>
              <w:left w:w="100" w:type="dxa"/>
              <w:bottom w:w="100" w:type="dxa"/>
              <w:right w:w="100" w:type="dxa"/>
            </w:tcMar>
          </w:tcPr>
          <w:p w14:paraId="38D73D99" w14:textId="77777777" w:rsidR="00607D05" w:rsidRDefault="000F1CAD">
            <w:pPr>
              <w:pStyle w:val="Heading1"/>
              <w:widowControl w:val="0"/>
              <w:spacing w:before="0" w:after="0" w:line="240" w:lineRule="auto"/>
              <w:rPr>
                <w:sz w:val="28"/>
                <w:szCs w:val="28"/>
              </w:rPr>
            </w:pPr>
            <w:bookmarkStart w:id="1" w:name="_mhdmlffl6wrr" w:colFirst="0" w:colLast="0"/>
            <w:bookmarkEnd w:id="1"/>
            <w:r>
              <w:rPr>
                <w:sz w:val="28"/>
                <w:szCs w:val="28"/>
              </w:rPr>
              <w:t>Contract Testing Requirements</w:t>
            </w:r>
          </w:p>
          <w:p w14:paraId="3462DF1D" w14:textId="006F720F" w:rsidR="0094158B" w:rsidRDefault="0094158B" w:rsidP="0094158B">
            <w:pPr>
              <w:widowControl w:val="0"/>
              <w:numPr>
                <w:ilvl w:val="0"/>
                <w:numId w:val="8"/>
              </w:numPr>
              <w:spacing w:after="0" w:line="240" w:lineRule="auto"/>
              <w:rPr>
                <w:lang w:val="en-US"/>
              </w:rPr>
            </w:pPr>
            <w:r w:rsidRPr="001A2F54">
              <w:rPr>
                <w:lang w:val="en-US"/>
              </w:rPr>
              <w:t xml:space="preserve">Service Level Agreement (SLA): This will have developed based on agreed upon </w:t>
            </w:r>
            <w:r w:rsidR="00E608A8">
              <w:rPr>
                <w:lang w:val="en-US"/>
              </w:rPr>
              <w:t xml:space="preserve">terms and </w:t>
            </w:r>
            <w:r w:rsidRPr="001A2F54">
              <w:rPr>
                <w:lang w:val="en-US"/>
              </w:rPr>
              <w:t xml:space="preserve">timelines to govern the delivery of services </w:t>
            </w:r>
            <w:proofErr w:type="gramStart"/>
            <w:r w:rsidRPr="001A2F54">
              <w:rPr>
                <w:lang w:val="en-US"/>
              </w:rPr>
              <w:t>in order to</w:t>
            </w:r>
            <w:proofErr w:type="gramEnd"/>
            <w:r w:rsidRPr="001A2F54">
              <w:rPr>
                <w:lang w:val="en-US"/>
              </w:rPr>
              <w:t xml:space="preserve"> manage expectations. </w:t>
            </w:r>
          </w:p>
          <w:p w14:paraId="4E7765FE" w14:textId="237ADCB9" w:rsidR="00E608A8" w:rsidRPr="001A2F54" w:rsidRDefault="00E608A8" w:rsidP="0094158B">
            <w:pPr>
              <w:widowControl w:val="0"/>
              <w:numPr>
                <w:ilvl w:val="0"/>
                <w:numId w:val="8"/>
              </w:numPr>
              <w:spacing w:after="0" w:line="240" w:lineRule="auto"/>
              <w:rPr>
                <w:lang w:val="en-US"/>
              </w:rPr>
            </w:pPr>
            <w:r>
              <w:rPr>
                <w:lang w:val="en-US"/>
              </w:rPr>
              <w:t xml:space="preserve">Service delivery to </w:t>
            </w:r>
            <w:r w:rsidR="00197D64">
              <w:rPr>
                <w:lang w:val="en-US"/>
              </w:rPr>
              <w:t xml:space="preserve">remote </w:t>
            </w:r>
            <w:r>
              <w:rPr>
                <w:lang w:val="en-US"/>
              </w:rPr>
              <w:t>field locations</w:t>
            </w:r>
            <w:r w:rsidR="00197D64">
              <w:rPr>
                <w:lang w:val="en-US"/>
              </w:rPr>
              <w:t xml:space="preserve">: This will determine the terms of service provision to remote field locations with no presence of quality health facilities. </w:t>
            </w:r>
          </w:p>
          <w:p w14:paraId="50162EC8" w14:textId="77777777" w:rsidR="0094158B" w:rsidRPr="001A2F54" w:rsidRDefault="0094158B" w:rsidP="0094158B">
            <w:pPr>
              <w:widowControl w:val="0"/>
              <w:numPr>
                <w:ilvl w:val="0"/>
                <w:numId w:val="8"/>
              </w:numPr>
              <w:spacing w:after="0" w:line="240" w:lineRule="auto"/>
              <w:rPr>
                <w:lang w:val="en-US"/>
              </w:rPr>
            </w:pPr>
            <w:r w:rsidRPr="001A2F54">
              <w:rPr>
                <w:lang w:val="en-US"/>
              </w:rPr>
              <w:t>Dedicated team to manage the scheme: This will be presented based on a mix of the service provider’s technical structure to support management and running of the scheme</w:t>
            </w:r>
          </w:p>
          <w:p w14:paraId="7E0D80ED" w14:textId="77777777" w:rsidR="0094158B" w:rsidRPr="001A2F54" w:rsidRDefault="0094158B" w:rsidP="0094158B">
            <w:pPr>
              <w:widowControl w:val="0"/>
              <w:numPr>
                <w:ilvl w:val="0"/>
                <w:numId w:val="8"/>
              </w:numPr>
              <w:spacing w:after="0" w:line="240" w:lineRule="auto"/>
              <w:rPr>
                <w:lang w:val="en-US"/>
              </w:rPr>
            </w:pPr>
            <w:r w:rsidRPr="001A2F54">
              <w:rPr>
                <w:lang w:val="en-US"/>
              </w:rPr>
              <w:t>Quarterly Review Meetings and Reports: These will be required to give an indication of the performance and management of the scheme</w:t>
            </w:r>
          </w:p>
          <w:p w14:paraId="6717EEDE" w14:textId="77777777" w:rsidR="0094158B" w:rsidRPr="001A2F54" w:rsidRDefault="0094158B" w:rsidP="0094158B">
            <w:pPr>
              <w:widowControl w:val="0"/>
              <w:numPr>
                <w:ilvl w:val="0"/>
                <w:numId w:val="8"/>
              </w:numPr>
              <w:spacing w:after="0" w:line="240" w:lineRule="auto"/>
              <w:rPr>
                <w:lang w:val="en-US"/>
              </w:rPr>
            </w:pPr>
            <w:r w:rsidRPr="001A2F54">
              <w:rPr>
                <w:lang w:val="en-US"/>
              </w:rPr>
              <w:t>Member monthly utilization reports: these will be used to provide members with checks and balances that billing to respective accounts has been done appropriately as well as an avenue to give feedback for any anomalies</w:t>
            </w:r>
          </w:p>
          <w:p w14:paraId="1C33B4B6" w14:textId="77777777" w:rsidR="0094158B" w:rsidRPr="001A2F54" w:rsidRDefault="0094158B" w:rsidP="0094158B">
            <w:pPr>
              <w:widowControl w:val="0"/>
              <w:numPr>
                <w:ilvl w:val="0"/>
                <w:numId w:val="8"/>
              </w:numPr>
              <w:spacing w:after="0" w:line="240" w:lineRule="auto"/>
              <w:rPr>
                <w:lang w:val="en-US"/>
              </w:rPr>
            </w:pPr>
            <w:r w:rsidRPr="001A2F54">
              <w:rPr>
                <w:lang w:val="en-US"/>
              </w:rPr>
              <w:t xml:space="preserve">Member education: this provides members with information about the details of the scheme and an opportunity to clarify their expectations on the level of service that they should expect to receive </w:t>
            </w:r>
          </w:p>
          <w:p w14:paraId="06A8597A" w14:textId="77777777" w:rsidR="00607D05" w:rsidRPr="0094158B" w:rsidRDefault="0094158B" w:rsidP="0094158B">
            <w:pPr>
              <w:widowControl w:val="0"/>
              <w:numPr>
                <w:ilvl w:val="0"/>
                <w:numId w:val="8"/>
              </w:numPr>
              <w:spacing w:after="0" w:line="240" w:lineRule="auto"/>
              <w:rPr>
                <w:lang w:val="en-US"/>
              </w:rPr>
            </w:pPr>
            <w:r w:rsidRPr="001A2F54">
              <w:rPr>
                <w:lang w:val="en-US"/>
              </w:rPr>
              <w:t>Supplier score card: this will be use to rate performance and quality of service of the vendor/service provider before the renewal of the scheme</w:t>
            </w:r>
            <w:r>
              <w:rPr>
                <w:lang w:val="en-US"/>
              </w:rPr>
              <w:t>.</w:t>
            </w:r>
          </w:p>
        </w:tc>
      </w:tr>
    </w:tbl>
    <w:p w14:paraId="7866813A" w14:textId="77777777" w:rsidR="00607D05" w:rsidRDefault="00607D05">
      <w:pPr>
        <w:spacing w:after="0"/>
      </w:pPr>
    </w:p>
    <w:tbl>
      <w:tblPr>
        <w:tblStyle w:val="a7"/>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07D05" w14:paraId="5B18CD7C" w14:textId="77777777">
        <w:tc>
          <w:tcPr>
            <w:tcW w:w="9360" w:type="dxa"/>
            <w:shd w:val="clear" w:color="auto" w:fill="auto"/>
            <w:tcMar>
              <w:top w:w="100" w:type="dxa"/>
              <w:left w:w="100" w:type="dxa"/>
              <w:bottom w:w="100" w:type="dxa"/>
              <w:right w:w="100" w:type="dxa"/>
            </w:tcMar>
          </w:tcPr>
          <w:p w14:paraId="0F78946C" w14:textId="77777777" w:rsidR="00607D05" w:rsidRDefault="000F1CAD">
            <w:pPr>
              <w:pStyle w:val="Heading1"/>
              <w:widowControl w:val="0"/>
              <w:spacing w:before="0" w:after="0" w:line="240" w:lineRule="auto"/>
              <w:rPr>
                <w:sz w:val="28"/>
                <w:szCs w:val="28"/>
              </w:rPr>
            </w:pPr>
            <w:bookmarkStart w:id="2" w:name="_z0oa23hjv6x5" w:colFirst="0" w:colLast="0"/>
            <w:bookmarkEnd w:id="2"/>
            <w:r>
              <w:rPr>
                <w:sz w:val="28"/>
                <w:szCs w:val="28"/>
              </w:rPr>
              <w:t>Non-Conformance</w:t>
            </w:r>
          </w:p>
          <w:p w14:paraId="1FE29A93" w14:textId="77777777" w:rsidR="0094158B" w:rsidRPr="0094158B" w:rsidRDefault="0094158B" w:rsidP="0094158B">
            <w:pPr>
              <w:widowControl w:val="0"/>
              <w:spacing w:after="0" w:line="240" w:lineRule="auto"/>
              <w:ind w:left="720"/>
              <w:contextualSpacing/>
              <w:jc w:val="both"/>
              <w:rPr>
                <w:i/>
              </w:rPr>
            </w:pPr>
            <w:r w:rsidRPr="0094158B">
              <w:rPr>
                <w:i/>
                <w:lang w:val="en-US"/>
              </w:rPr>
              <w:t>Review Meetings and commitment from the vendor on corrective action to be taken and timelines to be documented.</w:t>
            </w:r>
          </w:p>
          <w:p w14:paraId="5350BABD" w14:textId="77777777" w:rsidR="00607D05" w:rsidRDefault="0094158B" w:rsidP="0094158B">
            <w:pPr>
              <w:widowControl w:val="0"/>
              <w:spacing w:after="0" w:line="240" w:lineRule="auto"/>
              <w:ind w:left="720"/>
              <w:contextualSpacing/>
              <w:jc w:val="both"/>
              <w:rPr>
                <w:i/>
                <w:highlight w:val="yellow"/>
              </w:rPr>
            </w:pPr>
            <w:r w:rsidRPr="0094158B">
              <w:rPr>
                <w:b/>
                <w:i/>
              </w:rPr>
              <w:t>Termination of contract.(Severe)</w:t>
            </w:r>
          </w:p>
        </w:tc>
      </w:tr>
    </w:tbl>
    <w:p w14:paraId="618FEC4E" w14:textId="77777777" w:rsidR="00607D05" w:rsidRDefault="00607D05"/>
    <w:sectPr w:rsidR="00607D05">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62611" w14:textId="77777777" w:rsidR="00AA379F" w:rsidRDefault="00AA379F">
      <w:pPr>
        <w:spacing w:after="0" w:line="240" w:lineRule="auto"/>
      </w:pPr>
      <w:r>
        <w:separator/>
      </w:r>
    </w:p>
  </w:endnote>
  <w:endnote w:type="continuationSeparator" w:id="0">
    <w:p w14:paraId="09A88E8A" w14:textId="77777777" w:rsidR="00AA379F" w:rsidRDefault="00AA3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3C8C" w14:textId="7E3285FF" w:rsidR="00607D05" w:rsidRDefault="000F1CAD">
    <w:r>
      <w:t>Quality Control Plan</w:t>
    </w:r>
    <w:r w:rsidR="0094158B">
      <w:t>-</w:t>
    </w:r>
    <w:r w:rsidR="0094158B" w:rsidRPr="0094158B">
      <w:rPr>
        <w:b/>
      </w:rPr>
      <w:t xml:space="preserve"> </w:t>
    </w:r>
    <w:r w:rsidR="0099512B">
      <w:rPr>
        <w:b/>
      </w:rPr>
      <w:t xml:space="preserve">JUB-0069          </w:t>
    </w:r>
    <w:r w:rsidR="0099512B">
      <w:rPr>
        <w:b/>
      </w:rPr>
      <w:tab/>
    </w:r>
    <w:r w:rsidR="0099512B">
      <w:rPr>
        <w:b/>
      </w:rPr>
      <w:tab/>
    </w:r>
    <w:r>
      <w:tab/>
    </w:r>
    <w:r>
      <w:tab/>
    </w:r>
    <w:r>
      <w:tab/>
    </w:r>
    <w:r>
      <w:tab/>
    </w:r>
    <w:r>
      <w:tab/>
    </w:r>
    <w:r>
      <w:tab/>
    </w:r>
    <w:r>
      <w:fldChar w:fldCharType="begin"/>
    </w:r>
    <w:r>
      <w:instrText>PAGE</w:instrText>
    </w:r>
    <w:r>
      <w:fldChar w:fldCharType="separate"/>
    </w:r>
    <w:r w:rsidR="00D11691">
      <w:rPr>
        <w:noProof/>
      </w:rPr>
      <w:t>3</w:t>
    </w:r>
    <w:r>
      <w:fldChar w:fldCharType="end"/>
    </w:r>
    <w:r>
      <w:t>/</w:t>
    </w:r>
    <w:r>
      <w:fldChar w:fldCharType="begin"/>
    </w:r>
    <w:r>
      <w:instrText>NUMPAGES</w:instrText>
    </w:r>
    <w:r>
      <w:fldChar w:fldCharType="separate"/>
    </w:r>
    <w:r w:rsidR="00D1169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7485" w14:textId="77777777" w:rsidR="00AA379F" w:rsidRDefault="00AA379F">
      <w:pPr>
        <w:spacing w:after="0" w:line="240" w:lineRule="auto"/>
      </w:pPr>
      <w:r>
        <w:separator/>
      </w:r>
    </w:p>
  </w:footnote>
  <w:footnote w:type="continuationSeparator" w:id="0">
    <w:p w14:paraId="5357F837" w14:textId="77777777" w:rsidR="00AA379F" w:rsidRDefault="00AA3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7690" w14:textId="77777777" w:rsidR="00607D05" w:rsidRDefault="000F1CAD">
    <w:pPr>
      <w:pStyle w:val="Title"/>
      <w:spacing w:before="0" w:after="0"/>
      <w:rPr>
        <w:sz w:val="36"/>
        <w:szCs w:val="36"/>
      </w:rPr>
    </w:pPr>
    <w:bookmarkStart w:id="3" w:name="_mguw4j9uc8" w:colFirst="0" w:colLast="0"/>
    <w:bookmarkEnd w:id="3"/>
    <w:r>
      <w:rPr>
        <w:noProof/>
        <w:lang w:val="en-US"/>
      </w:rPr>
      <w:drawing>
        <wp:anchor distT="114300" distB="114300" distL="114300" distR="114300" simplePos="0" relativeHeight="251658240" behindDoc="0" locked="0" layoutInCell="1" hidden="0" allowOverlap="1" wp14:anchorId="427A45AE" wp14:editId="67CFF25C">
          <wp:simplePos x="0" y="0"/>
          <wp:positionH relativeFrom="margin">
            <wp:posOffset>5191125</wp:posOffset>
          </wp:positionH>
          <wp:positionV relativeFrom="paragraph">
            <wp:posOffset>-66674</wp:posOffset>
          </wp:positionV>
          <wp:extent cx="509588" cy="658544"/>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09588" cy="658544"/>
                  </a:xfrm>
                  <a:prstGeom prst="rect">
                    <a:avLst/>
                  </a:prstGeom>
                  <a:ln/>
                </pic:spPr>
              </pic:pic>
            </a:graphicData>
          </a:graphic>
        </wp:anchor>
      </w:drawing>
    </w:r>
  </w:p>
  <w:p w14:paraId="76636360" w14:textId="77777777" w:rsidR="00607D05" w:rsidRDefault="00607D05">
    <w:pPr>
      <w:pStyle w:val="Title"/>
      <w:spacing w:after="0"/>
      <w:rPr>
        <w:sz w:val="36"/>
        <w:szCs w:val="36"/>
      </w:rPr>
    </w:pPr>
    <w:bookmarkStart w:id="4" w:name="_z2wgdjqxpy87" w:colFirst="0" w:colLast="0"/>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ED5"/>
    <w:multiLevelType w:val="hybridMultilevel"/>
    <w:tmpl w:val="F448185C"/>
    <w:lvl w:ilvl="0" w:tplc="023CFAA2">
      <w:start w:val="1"/>
      <w:numFmt w:val="decimal"/>
      <w:lvlText w:val="%1."/>
      <w:lvlJc w:val="left"/>
      <w:pPr>
        <w:ind w:left="720" w:hanging="360"/>
      </w:pPr>
      <w:rPr>
        <w:rFonts w:asciiTheme="minorHAnsi" w:eastAsiaTheme="minorHAnsi" w:hAnsiTheme="minorHAnsi" w:cstheme="minorBidi"/>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056C3"/>
    <w:multiLevelType w:val="hybridMultilevel"/>
    <w:tmpl w:val="A3EE85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E40AAF"/>
    <w:multiLevelType w:val="hybridMultilevel"/>
    <w:tmpl w:val="F448185C"/>
    <w:lvl w:ilvl="0" w:tplc="023CFAA2">
      <w:start w:val="1"/>
      <w:numFmt w:val="decimal"/>
      <w:lvlText w:val="%1."/>
      <w:lvlJc w:val="left"/>
      <w:pPr>
        <w:ind w:left="720" w:hanging="360"/>
      </w:pPr>
      <w:rPr>
        <w:rFonts w:asciiTheme="minorHAnsi" w:eastAsiaTheme="minorHAnsi" w:hAnsiTheme="minorHAnsi" w:cstheme="minorBidi"/>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51242"/>
    <w:multiLevelType w:val="hybridMultilevel"/>
    <w:tmpl w:val="253A80BA"/>
    <w:lvl w:ilvl="0" w:tplc="023CFAA2">
      <w:start w:val="1"/>
      <w:numFmt w:val="decimal"/>
      <w:lvlText w:val="%1."/>
      <w:lvlJc w:val="left"/>
      <w:pPr>
        <w:ind w:left="720" w:hanging="360"/>
      </w:pPr>
      <w:rPr>
        <w:rFonts w:asciiTheme="minorHAnsi" w:eastAsiaTheme="minorHAnsi" w:hAnsiTheme="minorHAnsi" w:cstheme="minorBidi"/>
        <w:b w:val="0"/>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76EAF"/>
    <w:multiLevelType w:val="multilevel"/>
    <w:tmpl w:val="F8269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D91998"/>
    <w:multiLevelType w:val="multilevel"/>
    <w:tmpl w:val="2E6AF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4726B4"/>
    <w:multiLevelType w:val="hybridMultilevel"/>
    <w:tmpl w:val="F448185C"/>
    <w:lvl w:ilvl="0" w:tplc="023CFAA2">
      <w:start w:val="1"/>
      <w:numFmt w:val="decimal"/>
      <w:lvlText w:val="%1."/>
      <w:lvlJc w:val="left"/>
      <w:pPr>
        <w:ind w:left="720" w:hanging="360"/>
      </w:pPr>
      <w:rPr>
        <w:rFonts w:asciiTheme="minorHAnsi" w:eastAsiaTheme="minorHAnsi" w:hAnsiTheme="minorHAnsi" w:cstheme="minorBidi"/>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51507A"/>
    <w:multiLevelType w:val="multilevel"/>
    <w:tmpl w:val="21E0E6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4"/>
  </w:num>
  <w:num w:numId="4">
    <w:abstractNumId w:val="6"/>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D05"/>
    <w:rsid w:val="000064CA"/>
    <w:rsid w:val="0003010F"/>
    <w:rsid w:val="000561B5"/>
    <w:rsid w:val="000F1CAD"/>
    <w:rsid w:val="00197D64"/>
    <w:rsid w:val="001A2F54"/>
    <w:rsid w:val="001D4D02"/>
    <w:rsid w:val="0021322F"/>
    <w:rsid w:val="00456A81"/>
    <w:rsid w:val="004A6B2E"/>
    <w:rsid w:val="00607D05"/>
    <w:rsid w:val="00631D3C"/>
    <w:rsid w:val="007B6360"/>
    <w:rsid w:val="008E199B"/>
    <w:rsid w:val="00923A00"/>
    <w:rsid w:val="0094158B"/>
    <w:rsid w:val="0099512B"/>
    <w:rsid w:val="00A758A6"/>
    <w:rsid w:val="00A82EAA"/>
    <w:rsid w:val="00AA379F"/>
    <w:rsid w:val="00D11691"/>
    <w:rsid w:val="00D8287C"/>
    <w:rsid w:val="00DA7979"/>
    <w:rsid w:val="00E234DA"/>
    <w:rsid w:val="00E608A8"/>
    <w:rsid w:val="00E74204"/>
    <w:rsid w:val="00F720D2"/>
    <w:rsid w:val="00F8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1724"/>
  <w15:docId w15:val="{3AF8356E-579A-47D3-BA37-88582F81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158B"/>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41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58B"/>
  </w:style>
  <w:style w:type="paragraph" w:styleId="Footer">
    <w:name w:val="footer"/>
    <w:basedOn w:val="Normal"/>
    <w:link w:val="FooterChar"/>
    <w:uiPriority w:val="99"/>
    <w:unhideWhenUsed/>
    <w:rsid w:val="00941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lkagai</dc:creator>
  <cp:lastModifiedBy>Simon EdwardBonis</cp:lastModifiedBy>
  <cp:revision>5</cp:revision>
  <dcterms:created xsi:type="dcterms:W3CDTF">2021-11-05T07:10:00Z</dcterms:created>
  <dcterms:modified xsi:type="dcterms:W3CDTF">2022-01-13T07:53:00Z</dcterms:modified>
</cp:coreProperties>
</file>