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B4BC" w14:textId="77777777"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0"/>
        <w:gridCol w:w="6050"/>
      </w:tblGrid>
      <w:tr w:rsidR="00CB6EF5" w14:paraId="20B14855" w14:textId="77777777" w:rsidTr="00E627AA">
        <w:trPr>
          <w:trHeight w:val="400"/>
        </w:trPr>
        <w:tc>
          <w:tcPr>
            <w:tcW w:w="4750" w:type="dxa"/>
            <w:shd w:val="clear" w:color="auto" w:fill="auto"/>
            <w:tcMar>
              <w:top w:w="100" w:type="dxa"/>
              <w:left w:w="100" w:type="dxa"/>
              <w:bottom w:w="100" w:type="dxa"/>
              <w:right w:w="100" w:type="dxa"/>
            </w:tcMar>
          </w:tcPr>
          <w:p w14:paraId="314D9811" w14:textId="29255F67" w:rsidR="00CB6EF5" w:rsidRPr="00E627AA" w:rsidRDefault="00BC573A">
            <w:pPr>
              <w:widowControl w:val="0"/>
              <w:spacing w:after="0" w:line="240" w:lineRule="auto"/>
              <w:rPr>
                <w:b/>
                <w:sz w:val="28"/>
                <w:szCs w:val="28"/>
              </w:rPr>
            </w:pPr>
            <w:r w:rsidRPr="00E627AA">
              <w:rPr>
                <w:b/>
                <w:sz w:val="28"/>
                <w:szCs w:val="28"/>
              </w:rPr>
              <w:t>Tender No:</w:t>
            </w:r>
            <w:bookmarkStart w:id="1" w:name="_Hlk82015862"/>
            <w:r w:rsidR="005C2AA6">
              <w:rPr>
                <w:b/>
                <w:sz w:val="28"/>
                <w:szCs w:val="28"/>
              </w:rPr>
              <w:t xml:space="preserve"> G0</w:t>
            </w:r>
            <w:r w:rsidR="00BB335E">
              <w:rPr>
                <w:b/>
                <w:sz w:val="28"/>
                <w:szCs w:val="28"/>
              </w:rPr>
              <w:t>7</w:t>
            </w:r>
            <w:r w:rsidR="002C4FDB" w:rsidRPr="002C4FDB">
              <w:rPr>
                <w:b/>
              </w:rPr>
              <w:t>/2021</w:t>
            </w:r>
            <w:bookmarkEnd w:id="1"/>
          </w:p>
        </w:tc>
        <w:tc>
          <w:tcPr>
            <w:tcW w:w="6050" w:type="dxa"/>
            <w:shd w:val="clear" w:color="auto" w:fill="auto"/>
            <w:tcMar>
              <w:top w:w="100" w:type="dxa"/>
              <w:left w:w="100" w:type="dxa"/>
              <w:bottom w:w="100" w:type="dxa"/>
              <w:right w:w="100" w:type="dxa"/>
            </w:tcMar>
          </w:tcPr>
          <w:p w14:paraId="08CFA31D" w14:textId="77777777" w:rsidR="00CB6EF5" w:rsidRPr="00E627AA" w:rsidRDefault="00CC0EF7">
            <w:pPr>
              <w:widowControl w:val="0"/>
              <w:spacing w:after="0" w:line="240" w:lineRule="auto"/>
              <w:rPr>
                <w:b/>
                <w:sz w:val="28"/>
                <w:szCs w:val="28"/>
              </w:rPr>
            </w:pPr>
            <w:r w:rsidRPr="00E627AA">
              <w:rPr>
                <w:b/>
                <w:sz w:val="28"/>
                <w:szCs w:val="28"/>
              </w:rPr>
              <w:t>Responses to Queries raised</w:t>
            </w:r>
            <w:r w:rsidR="00E37641" w:rsidRPr="00E627AA">
              <w:rPr>
                <w:b/>
                <w:sz w:val="28"/>
                <w:szCs w:val="28"/>
              </w:rPr>
              <w:t xml:space="preserve"> by prospective tenderers</w:t>
            </w:r>
          </w:p>
        </w:tc>
      </w:tr>
      <w:tr w:rsidR="00CB6EF5" w14:paraId="3FA1210E" w14:textId="77777777" w:rsidTr="00E627AA">
        <w:trPr>
          <w:trHeight w:val="400"/>
        </w:trPr>
        <w:tc>
          <w:tcPr>
            <w:tcW w:w="4750" w:type="dxa"/>
            <w:shd w:val="clear" w:color="auto" w:fill="auto"/>
            <w:tcMar>
              <w:top w:w="100" w:type="dxa"/>
              <w:left w:w="100" w:type="dxa"/>
              <w:bottom w:w="100" w:type="dxa"/>
              <w:right w:w="100" w:type="dxa"/>
            </w:tcMar>
          </w:tcPr>
          <w:p w14:paraId="4C30B294" w14:textId="06A42C89" w:rsidR="00CB6EF5" w:rsidRPr="00E627AA" w:rsidRDefault="00BC573A" w:rsidP="00C2105F">
            <w:pPr>
              <w:widowControl w:val="0"/>
              <w:spacing w:after="0" w:line="240" w:lineRule="auto"/>
              <w:rPr>
                <w:b/>
                <w:sz w:val="28"/>
                <w:szCs w:val="28"/>
              </w:rPr>
            </w:pPr>
            <w:r w:rsidRPr="00E627AA">
              <w:rPr>
                <w:b/>
                <w:sz w:val="28"/>
                <w:szCs w:val="28"/>
              </w:rPr>
              <w:t>Tender Name:</w:t>
            </w:r>
            <w:r w:rsidR="00E37641" w:rsidRPr="00E627AA">
              <w:rPr>
                <w:b/>
                <w:sz w:val="28"/>
                <w:szCs w:val="28"/>
              </w:rPr>
              <w:t xml:space="preserve"> </w:t>
            </w:r>
            <w:r w:rsidR="00BB335E">
              <w:rPr>
                <w:rFonts w:ascii="Calibri" w:eastAsia="Calibri" w:hAnsi="Calibri" w:cs="Calibri"/>
                <w:b/>
                <w:bCs/>
                <w:color w:val="auto"/>
                <w:sz w:val="24"/>
                <w:szCs w:val="24"/>
                <w:lang w:val="en-US"/>
              </w:rPr>
              <w:t>GLOBAL SHIPPING SERVICES</w:t>
            </w:r>
            <w:r w:rsidR="00C5726B">
              <w:rPr>
                <w:rFonts w:ascii="Calibri" w:eastAsia="Calibri" w:hAnsi="Calibri" w:cs="Calibri"/>
                <w:b/>
                <w:bCs/>
                <w:color w:val="auto"/>
                <w:sz w:val="24"/>
                <w:szCs w:val="24"/>
                <w:lang w:val="en-US"/>
              </w:rPr>
              <w:t xml:space="preserve"> </w:t>
            </w:r>
          </w:p>
        </w:tc>
        <w:tc>
          <w:tcPr>
            <w:tcW w:w="6050" w:type="dxa"/>
            <w:shd w:val="clear" w:color="auto" w:fill="auto"/>
            <w:tcMar>
              <w:top w:w="100" w:type="dxa"/>
              <w:left w:w="100" w:type="dxa"/>
              <w:bottom w:w="100" w:type="dxa"/>
              <w:right w:w="100" w:type="dxa"/>
            </w:tcMar>
          </w:tcPr>
          <w:p w14:paraId="033FBF78" w14:textId="010058DD" w:rsidR="00CB6EF5" w:rsidRPr="00E627AA" w:rsidRDefault="00BC573A" w:rsidP="00123814">
            <w:pPr>
              <w:widowControl w:val="0"/>
              <w:spacing w:after="0" w:line="240" w:lineRule="auto"/>
              <w:rPr>
                <w:b/>
                <w:sz w:val="28"/>
                <w:szCs w:val="28"/>
              </w:rPr>
            </w:pPr>
            <w:r w:rsidRPr="00E627AA">
              <w:rPr>
                <w:b/>
                <w:sz w:val="28"/>
                <w:szCs w:val="28"/>
              </w:rPr>
              <w:t>Date Issued:</w:t>
            </w:r>
            <w:r w:rsidR="00F30C7B">
              <w:rPr>
                <w:b/>
                <w:sz w:val="28"/>
                <w:szCs w:val="28"/>
              </w:rPr>
              <w:t xml:space="preserve"> </w:t>
            </w:r>
            <w:r w:rsidR="00BB335E">
              <w:rPr>
                <w:b/>
                <w:sz w:val="22"/>
                <w:szCs w:val="22"/>
              </w:rPr>
              <w:t>10</w:t>
            </w:r>
            <w:r w:rsidR="00BB335E" w:rsidRPr="00BB335E">
              <w:rPr>
                <w:b/>
                <w:sz w:val="22"/>
                <w:szCs w:val="22"/>
                <w:vertAlign w:val="superscript"/>
              </w:rPr>
              <w:t>TH</w:t>
            </w:r>
            <w:r w:rsidR="00BB335E">
              <w:rPr>
                <w:b/>
                <w:sz w:val="22"/>
                <w:szCs w:val="22"/>
              </w:rPr>
              <w:t xml:space="preserve"> NOVEMBER</w:t>
            </w:r>
            <w:r w:rsidR="00123814" w:rsidRPr="00690277">
              <w:rPr>
                <w:b/>
                <w:sz w:val="22"/>
                <w:szCs w:val="22"/>
              </w:rPr>
              <w:t xml:space="preserve"> 2021</w:t>
            </w:r>
          </w:p>
        </w:tc>
      </w:tr>
    </w:tbl>
    <w:p w14:paraId="237DF45A" w14:textId="77777777" w:rsidR="00CB6EF5" w:rsidRDefault="00CB6EF5">
      <w:pPr>
        <w:spacing w:line="240" w:lineRule="auto"/>
        <w:rPr>
          <w:rFonts w:ascii="Times New Roman" w:eastAsia="Times New Roman" w:hAnsi="Times New Roman" w:cs="Times New Roman"/>
          <w:color w:val="000000"/>
          <w:sz w:val="22"/>
          <w:szCs w:val="22"/>
        </w:rPr>
      </w:pPr>
    </w:p>
    <w:p w14:paraId="48728BA0" w14:textId="66A03E9C" w:rsidR="00E37641" w:rsidRPr="00690277" w:rsidRDefault="00CC0EF7" w:rsidP="002848E7">
      <w:pPr>
        <w:jc w:val="both"/>
        <w:rPr>
          <w:rFonts w:ascii="Times New Roman" w:eastAsia="Times New Roman" w:hAnsi="Times New Roman" w:cs="Times New Roman"/>
          <w:color w:val="auto"/>
          <w:sz w:val="22"/>
          <w:szCs w:val="22"/>
        </w:rPr>
      </w:pPr>
      <w:r w:rsidRPr="00690277">
        <w:rPr>
          <w:rFonts w:ascii="Times New Roman" w:eastAsia="Times New Roman" w:hAnsi="Times New Roman" w:cs="Times New Roman"/>
          <w:color w:val="auto"/>
          <w:sz w:val="22"/>
          <w:szCs w:val="22"/>
        </w:rPr>
        <w:t>This provides answers to qu</w:t>
      </w:r>
      <w:r w:rsidR="00F30C7B" w:rsidRPr="00690277">
        <w:rPr>
          <w:rFonts w:ascii="Times New Roman" w:eastAsia="Times New Roman" w:hAnsi="Times New Roman" w:cs="Times New Roman"/>
          <w:color w:val="auto"/>
          <w:sz w:val="22"/>
          <w:szCs w:val="22"/>
        </w:rPr>
        <w:t xml:space="preserve">eries raised from bidders </w:t>
      </w:r>
      <w:r w:rsidR="002C4FDB" w:rsidRPr="00690277">
        <w:rPr>
          <w:rFonts w:ascii="Times New Roman" w:eastAsia="Times New Roman" w:hAnsi="Times New Roman" w:cs="Times New Roman"/>
          <w:color w:val="auto"/>
          <w:sz w:val="22"/>
          <w:szCs w:val="22"/>
        </w:rPr>
        <w:t>by</w:t>
      </w:r>
      <w:r w:rsidR="00F30C7B" w:rsidRPr="00690277">
        <w:rPr>
          <w:rFonts w:ascii="Times New Roman" w:eastAsia="Times New Roman" w:hAnsi="Times New Roman" w:cs="Times New Roman"/>
          <w:color w:val="auto"/>
          <w:sz w:val="22"/>
          <w:szCs w:val="22"/>
        </w:rPr>
        <w:t xml:space="preserve"> </w:t>
      </w:r>
      <w:r w:rsidR="00BB335E">
        <w:rPr>
          <w:rFonts w:ascii="Times New Roman" w:eastAsia="Times New Roman" w:hAnsi="Times New Roman" w:cs="Times New Roman"/>
          <w:color w:val="auto"/>
          <w:sz w:val="22"/>
          <w:szCs w:val="22"/>
        </w:rPr>
        <w:t>8</w:t>
      </w:r>
      <w:r w:rsidR="00C2105F" w:rsidRPr="00690277">
        <w:rPr>
          <w:rFonts w:ascii="Times New Roman" w:eastAsia="Times New Roman" w:hAnsi="Times New Roman" w:cs="Times New Roman"/>
          <w:color w:val="auto"/>
          <w:sz w:val="22"/>
          <w:szCs w:val="22"/>
          <w:vertAlign w:val="superscript"/>
        </w:rPr>
        <w:t xml:space="preserve">th </w:t>
      </w:r>
      <w:r w:rsidR="00BB335E">
        <w:rPr>
          <w:rFonts w:ascii="Times New Roman" w:eastAsia="Times New Roman" w:hAnsi="Times New Roman" w:cs="Times New Roman"/>
          <w:color w:val="auto"/>
          <w:sz w:val="22"/>
          <w:szCs w:val="22"/>
        </w:rPr>
        <w:t>December</w:t>
      </w:r>
      <w:r w:rsidR="00C2105F" w:rsidRPr="00690277">
        <w:rPr>
          <w:rFonts w:ascii="Times New Roman" w:eastAsia="Times New Roman" w:hAnsi="Times New Roman" w:cs="Times New Roman"/>
          <w:color w:val="auto"/>
          <w:sz w:val="22"/>
          <w:szCs w:val="22"/>
        </w:rPr>
        <w:t xml:space="preserve"> 2021 which was the deadline for receiving</w:t>
      </w:r>
      <w:r w:rsidRPr="00690277">
        <w:rPr>
          <w:rFonts w:ascii="Times New Roman" w:eastAsia="Times New Roman" w:hAnsi="Times New Roman" w:cs="Times New Roman"/>
          <w:color w:val="auto"/>
          <w:sz w:val="22"/>
          <w:szCs w:val="22"/>
        </w:rPr>
        <w:t xml:space="preserve"> queries. The responses are posted </w:t>
      </w:r>
      <w:r w:rsidR="001E2516" w:rsidRPr="00690277">
        <w:rPr>
          <w:rFonts w:ascii="Times New Roman" w:eastAsia="Times New Roman" w:hAnsi="Times New Roman" w:cs="Times New Roman"/>
          <w:color w:val="auto"/>
          <w:sz w:val="22"/>
          <w:szCs w:val="22"/>
        </w:rPr>
        <w:t xml:space="preserve">on website </w:t>
      </w:r>
      <w:r w:rsidRPr="00690277">
        <w:rPr>
          <w:rFonts w:ascii="Times New Roman" w:eastAsia="Times New Roman" w:hAnsi="Times New Roman" w:cs="Times New Roman"/>
          <w:color w:val="auto"/>
          <w:sz w:val="22"/>
          <w:szCs w:val="22"/>
        </w:rPr>
        <w:t xml:space="preserve">for </w:t>
      </w:r>
      <w:r w:rsidR="00690277" w:rsidRPr="00690277">
        <w:rPr>
          <w:rFonts w:ascii="Times New Roman" w:eastAsia="Times New Roman" w:hAnsi="Times New Roman" w:cs="Times New Roman"/>
          <w:color w:val="auto"/>
          <w:sz w:val="22"/>
          <w:szCs w:val="22"/>
        </w:rPr>
        <w:t>access</w:t>
      </w:r>
      <w:r w:rsidRPr="00690277">
        <w:rPr>
          <w:rFonts w:ascii="Times New Roman" w:eastAsia="Times New Roman" w:hAnsi="Times New Roman" w:cs="Times New Roman"/>
          <w:color w:val="auto"/>
          <w:sz w:val="22"/>
          <w:szCs w:val="22"/>
        </w:rPr>
        <w:t xml:space="preserve"> </w:t>
      </w:r>
      <w:r w:rsidR="00690277" w:rsidRPr="00690277">
        <w:rPr>
          <w:rFonts w:ascii="Times New Roman" w:eastAsia="Times New Roman" w:hAnsi="Times New Roman" w:cs="Times New Roman"/>
          <w:color w:val="auto"/>
          <w:sz w:val="22"/>
          <w:szCs w:val="22"/>
        </w:rPr>
        <w:t xml:space="preserve">by </w:t>
      </w:r>
      <w:r w:rsidRPr="00690277">
        <w:rPr>
          <w:rFonts w:ascii="Times New Roman" w:eastAsia="Times New Roman" w:hAnsi="Times New Roman" w:cs="Times New Roman"/>
          <w:color w:val="auto"/>
          <w:sz w:val="22"/>
          <w:szCs w:val="22"/>
        </w:rPr>
        <w:t>all prospective bidders and does not disclose</w:t>
      </w:r>
      <w:r w:rsidR="00572DEA" w:rsidRPr="00690277">
        <w:rPr>
          <w:rFonts w:ascii="Times New Roman" w:eastAsia="Times New Roman" w:hAnsi="Times New Roman" w:cs="Times New Roman"/>
          <w:color w:val="auto"/>
          <w:sz w:val="22"/>
          <w:szCs w:val="22"/>
        </w:rPr>
        <w:t xml:space="preserve"> the source</w:t>
      </w:r>
      <w:r w:rsidR="00BA1D3C" w:rsidRPr="00690277">
        <w:rPr>
          <w:rFonts w:ascii="Times New Roman" w:eastAsia="Times New Roman" w:hAnsi="Times New Roman" w:cs="Times New Roman"/>
          <w:color w:val="auto"/>
          <w:sz w:val="22"/>
          <w:szCs w:val="22"/>
        </w:rPr>
        <w:t>.</w:t>
      </w:r>
    </w:p>
    <w:tbl>
      <w:tblPr>
        <w:tblStyle w:val="TableGrid"/>
        <w:tblW w:w="10795" w:type="dxa"/>
        <w:tblLook w:val="04A0" w:firstRow="1" w:lastRow="0" w:firstColumn="1" w:lastColumn="0" w:noHBand="0" w:noVBand="1"/>
      </w:tblPr>
      <w:tblGrid>
        <w:gridCol w:w="570"/>
        <w:gridCol w:w="4645"/>
        <w:gridCol w:w="5580"/>
      </w:tblGrid>
      <w:tr w:rsidR="00E627AA" w:rsidRPr="00690277" w14:paraId="724E48BA" w14:textId="77777777" w:rsidTr="002848E7">
        <w:tc>
          <w:tcPr>
            <w:tcW w:w="570" w:type="dxa"/>
          </w:tcPr>
          <w:p w14:paraId="6D635B34" w14:textId="77777777" w:rsidR="00E37641" w:rsidRPr="00690277" w:rsidRDefault="00E37641"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r w:rsidRPr="00690277">
              <w:rPr>
                <w:rFonts w:ascii="Times New Roman" w:eastAsia="Times New Roman" w:hAnsi="Times New Roman" w:cs="Times New Roman"/>
                <w:color w:val="auto"/>
                <w:sz w:val="22"/>
                <w:szCs w:val="22"/>
              </w:rPr>
              <w:t xml:space="preserve">No. </w:t>
            </w:r>
          </w:p>
        </w:tc>
        <w:tc>
          <w:tcPr>
            <w:tcW w:w="4645" w:type="dxa"/>
          </w:tcPr>
          <w:p w14:paraId="17AED12E" w14:textId="77777777" w:rsidR="00E37641" w:rsidRPr="00690277" w:rsidRDefault="00E37641"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
                <w:color w:val="auto"/>
                <w:sz w:val="22"/>
                <w:szCs w:val="22"/>
              </w:rPr>
            </w:pPr>
            <w:r w:rsidRPr="00690277">
              <w:rPr>
                <w:rFonts w:ascii="Times New Roman" w:eastAsia="Times New Roman" w:hAnsi="Times New Roman" w:cs="Times New Roman"/>
                <w:b/>
                <w:color w:val="auto"/>
                <w:sz w:val="22"/>
                <w:szCs w:val="22"/>
              </w:rPr>
              <w:t xml:space="preserve">Question </w:t>
            </w:r>
          </w:p>
        </w:tc>
        <w:tc>
          <w:tcPr>
            <w:tcW w:w="5580" w:type="dxa"/>
          </w:tcPr>
          <w:p w14:paraId="289B8BC8" w14:textId="77777777" w:rsidR="00E37641" w:rsidRPr="00690277" w:rsidRDefault="00E37641"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b/>
                <w:color w:val="auto"/>
                <w:sz w:val="22"/>
                <w:szCs w:val="22"/>
              </w:rPr>
            </w:pPr>
            <w:r w:rsidRPr="00690277">
              <w:rPr>
                <w:rFonts w:ascii="Times New Roman" w:eastAsia="Times New Roman" w:hAnsi="Times New Roman" w:cs="Times New Roman"/>
                <w:b/>
                <w:color w:val="auto"/>
                <w:sz w:val="22"/>
                <w:szCs w:val="22"/>
              </w:rPr>
              <w:t xml:space="preserve">Response </w:t>
            </w:r>
          </w:p>
        </w:tc>
      </w:tr>
      <w:tr w:rsidR="002848E7" w:rsidRPr="00690277" w14:paraId="439867BA" w14:textId="77777777" w:rsidTr="002848E7">
        <w:tc>
          <w:tcPr>
            <w:tcW w:w="570" w:type="dxa"/>
          </w:tcPr>
          <w:p w14:paraId="4048F5F1" w14:textId="77777777" w:rsidR="00E37641" w:rsidRPr="00690277" w:rsidRDefault="00E37641"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r w:rsidRPr="00690277">
              <w:rPr>
                <w:rFonts w:ascii="Times New Roman" w:eastAsia="Times New Roman" w:hAnsi="Times New Roman" w:cs="Times New Roman"/>
                <w:color w:val="auto"/>
                <w:sz w:val="22"/>
                <w:szCs w:val="22"/>
              </w:rPr>
              <w:t>1</w:t>
            </w:r>
          </w:p>
        </w:tc>
        <w:tc>
          <w:tcPr>
            <w:tcW w:w="4645" w:type="dxa"/>
          </w:tcPr>
          <w:p w14:paraId="1C614302" w14:textId="77777777" w:rsidR="00BB335E" w:rsidRPr="00BB335E" w:rsidRDefault="00BB335E" w:rsidP="00BB335E">
            <w:pPr>
              <w:numPr>
                <w:ilvl w:val="0"/>
                <w:numId w:val="10"/>
              </w:num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Calibri" w:eastAsia="Times New Roman" w:hAnsi="Calibri" w:cs="Calibri"/>
                <w:color w:val="323130"/>
                <w:sz w:val="22"/>
                <w:szCs w:val="22"/>
                <w:lang w:val="en-US"/>
              </w:rPr>
            </w:pPr>
            <w:r w:rsidRPr="00BB335E">
              <w:rPr>
                <w:rFonts w:ascii="Calibri" w:eastAsia="Times New Roman" w:hAnsi="Calibri" w:cs="Calibri"/>
                <w:color w:val="323130"/>
                <w:sz w:val="22"/>
                <w:szCs w:val="22"/>
                <w:lang w:val="en-CA"/>
              </w:rPr>
              <w:t>In section II. </w:t>
            </w:r>
            <w:r w:rsidRPr="00BB335E">
              <w:rPr>
                <w:rFonts w:ascii="Calibri" w:eastAsia="Times New Roman" w:hAnsi="Calibri" w:cs="Calibri"/>
                <w:i/>
                <w:iCs/>
                <w:color w:val="323130"/>
                <w:sz w:val="22"/>
                <w:szCs w:val="22"/>
                <w:lang w:val="en-CA"/>
              </w:rPr>
              <w:t>Background</w:t>
            </w:r>
            <w:r w:rsidRPr="00BB335E">
              <w:rPr>
                <w:rFonts w:ascii="Calibri" w:eastAsia="Times New Roman" w:hAnsi="Calibri" w:cs="Calibri"/>
                <w:color w:val="323130"/>
                <w:sz w:val="22"/>
                <w:szCs w:val="22"/>
                <w:lang w:val="en-CA"/>
              </w:rPr>
              <w:t>, you indicate that you are looking for </w:t>
            </w:r>
            <w:r w:rsidRPr="00BB335E">
              <w:rPr>
                <w:rFonts w:ascii="Calibri" w:eastAsia="Times New Roman" w:hAnsi="Calibri" w:cs="Calibri"/>
                <w:i/>
                <w:iCs/>
                <w:color w:val="323130"/>
                <w:sz w:val="22"/>
                <w:szCs w:val="22"/>
                <w:lang w:val="en-CA"/>
              </w:rPr>
              <w:t>door-to-door </w:t>
            </w:r>
            <w:r w:rsidRPr="00BB335E">
              <w:rPr>
                <w:rFonts w:ascii="Times New Roman" w:eastAsia="Times New Roman" w:hAnsi="Times New Roman" w:cs="Times New Roman"/>
                <w:i/>
                <w:iCs/>
                <w:color w:val="323130"/>
                <w:sz w:val="24"/>
                <w:szCs w:val="24"/>
                <w:lang w:val="en-CA"/>
              </w:rPr>
              <w:t>shipment management, delivery to residence and placement of all items into desired locations</w:t>
            </w:r>
            <w:r w:rsidRPr="00BB335E">
              <w:rPr>
                <w:rFonts w:ascii="Times New Roman" w:eastAsia="Times New Roman" w:hAnsi="Times New Roman" w:cs="Times New Roman"/>
                <w:color w:val="323130"/>
                <w:sz w:val="24"/>
                <w:szCs w:val="24"/>
                <w:lang w:val="en-CA"/>
              </w:rPr>
              <w:t>. In section III </w:t>
            </w:r>
            <w:r w:rsidRPr="00BB335E">
              <w:rPr>
                <w:rFonts w:ascii="Times New Roman" w:eastAsia="Times New Roman" w:hAnsi="Times New Roman" w:cs="Times New Roman"/>
                <w:i/>
                <w:iCs/>
                <w:color w:val="323130"/>
                <w:sz w:val="24"/>
                <w:szCs w:val="24"/>
                <w:lang w:val="en-CA"/>
              </w:rPr>
              <w:t>Desired services &amp; Scope of work</w:t>
            </w:r>
            <w:r w:rsidRPr="00BB335E">
              <w:rPr>
                <w:rFonts w:ascii="Times New Roman" w:eastAsia="Times New Roman" w:hAnsi="Times New Roman" w:cs="Times New Roman"/>
                <w:color w:val="323130"/>
                <w:sz w:val="24"/>
                <w:szCs w:val="24"/>
                <w:lang w:val="en-CA"/>
              </w:rPr>
              <w:t>, you indicate that the costs for </w:t>
            </w:r>
            <w:r w:rsidRPr="00BB335E">
              <w:rPr>
                <w:rFonts w:ascii="Times New Roman" w:eastAsia="Times New Roman" w:hAnsi="Times New Roman" w:cs="Times New Roman"/>
                <w:i/>
                <w:iCs/>
                <w:color w:val="323130"/>
                <w:sz w:val="24"/>
                <w:szCs w:val="24"/>
                <w:lang w:val="en-CA"/>
              </w:rPr>
              <w:t xml:space="preserve">Delivery to </w:t>
            </w:r>
            <w:proofErr w:type="gramStart"/>
            <w:r w:rsidRPr="00BB335E">
              <w:rPr>
                <w:rFonts w:ascii="Times New Roman" w:eastAsia="Times New Roman" w:hAnsi="Times New Roman" w:cs="Times New Roman"/>
                <w:i/>
                <w:iCs/>
                <w:color w:val="323130"/>
                <w:sz w:val="24"/>
                <w:szCs w:val="24"/>
                <w:lang w:val="en-CA"/>
              </w:rPr>
              <w:t>the  transferee’s</w:t>
            </w:r>
            <w:proofErr w:type="gramEnd"/>
            <w:r w:rsidRPr="00BB335E">
              <w:rPr>
                <w:rFonts w:ascii="Times New Roman" w:eastAsia="Times New Roman" w:hAnsi="Times New Roman" w:cs="Times New Roman"/>
                <w:i/>
                <w:iCs/>
                <w:color w:val="323130"/>
                <w:sz w:val="24"/>
                <w:szCs w:val="24"/>
                <w:lang w:val="en-CA"/>
              </w:rPr>
              <w:t xml:space="preserve"> house (excluding unpacking); removal of packing material and pallets</w:t>
            </w:r>
            <w:r w:rsidRPr="00BB335E">
              <w:rPr>
                <w:rFonts w:ascii="Times New Roman" w:eastAsia="Times New Roman" w:hAnsi="Times New Roman" w:cs="Times New Roman"/>
                <w:color w:val="323130"/>
                <w:sz w:val="24"/>
                <w:szCs w:val="24"/>
                <w:lang w:val="en-CA"/>
              </w:rPr>
              <w:t>. These two statements seem contradictory to us. Can you clarify what will be included in the scope of work and eventual quotations submitted by the vendor?</w:t>
            </w:r>
          </w:p>
          <w:p w14:paraId="5F2F433A" w14:textId="6225B726" w:rsidR="00E37641" w:rsidRPr="0096136E" w:rsidRDefault="00BB335E" w:rsidP="0096136E">
            <w:pPr>
              <w:numPr>
                <w:ilvl w:val="1"/>
                <w:numId w:val="10"/>
              </w:num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Calibri" w:eastAsia="Times New Roman" w:hAnsi="Calibri" w:cs="Calibri"/>
                <w:color w:val="323130"/>
                <w:sz w:val="22"/>
                <w:szCs w:val="22"/>
                <w:lang w:val="en-US"/>
              </w:rPr>
            </w:pPr>
            <w:r w:rsidRPr="00BB335E">
              <w:rPr>
                <w:rFonts w:ascii="Times New Roman" w:eastAsia="Times New Roman" w:hAnsi="Times New Roman" w:cs="Times New Roman"/>
                <w:color w:val="323130"/>
                <w:sz w:val="24"/>
                <w:szCs w:val="24"/>
                <w:lang w:val="en-CA"/>
              </w:rPr>
              <w:t>Is the vendor expected to quote for the delivery to residence at destination?</w:t>
            </w:r>
          </w:p>
        </w:tc>
        <w:tc>
          <w:tcPr>
            <w:tcW w:w="5580" w:type="dxa"/>
          </w:tcPr>
          <w:p w14:paraId="0AB320FF" w14:textId="17B23D86" w:rsidR="00B56F0D" w:rsidRDefault="0096136E"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Kindly note at </w:t>
            </w:r>
            <w:r w:rsidR="002474E5">
              <w:rPr>
                <w:rFonts w:ascii="Times New Roman" w:eastAsia="Times New Roman" w:hAnsi="Times New Roman" w:cs="Times New Roman"/>
                <w:color w:val="auto"/>
                <w:sz w:val="22"/>
                <w:szCs w:val="22"/>
              </w:rPr>
              <w:t>this</w:t>
            </w:r>
            <w:r>
              <w:rPr>
                <w:rFonts w:ascii="Times New Roman" w:eastAsia="Times New Roman" w:hAnsi="Times New Roman" w:cs="Times New Roman"/>
                <w:color w:val="auto"/>
                <w:sz w:val="22"/>
                <w:szCs w:val="22"/>
              </w:rPr>
              <w:t xml:space="preserve"> point</w:t>
            </w:r>
            <w:r w:rsidR="002474E5">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 xml:space="preserve"> we are not expecting applicants to send their financial proposals. Successful firms will participate in a competitive process on a need basis once we have clear details on employee relocation. </w:t>
            </w:r>
          </w:p>
          <w:p w14:paraId="0F039E0F" w14:textId="77777777" w:rsidR="00CF1CEA" w:rsidRDefault="00CF1CEA"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p>
          <w:p w14:paraId="3332EC1A" w14:textId="777D41FA" w:rsidR="00CF1CEA" w:rsidRPr="00690277" w:rsidRDefault="00CF1CEA"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The vendor will be expected to quote for delivery to the new residential location. </w:t>
            </w:r>
          </w:p>
        </w:tc>
      </w:tr>
      <w:tr w:rsidR="002848E7" w:rsidRPr="00690277" w14:paraId="706E5CF3" w14:textId="77777777" w:rsidTr="002848E7">
        <w:tc>
          <w:tcPr>
            <w:tcW w:w="570" w:type="dxa"/>
          </w:tcPr>
          <w:p w14:paraId="48D032F2" w14:textId="0D72A52A" w:rsidR="00E37641" w:rsidRPr="00690277" w:rsidRDefault="00E37641"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p>
        </w:tc>
        <w:tc>
          <w:tcPr>
            <w:tcW w:w="4645" w:type="dxa"/>
          </w:tcPr>
          <w:p w14:paraId="74D5E71A" w14:textId="1B59087C" w:rsidR="00E37641" w:rsidRPr="0096136E" w:rsidRDefault="0096136E" w:rsidP="0096136E">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Calibri" w:eastAsia="Times New Roman" w:hAnsi="Calibri" w:cs="Calibri"/>
                <w:color w:val="323130"/>
                <w:sz w:val="22"/>
                <w:szCs w:val="22"/>
                <w:lang w:val="en-US"/>
              </w:rPr>
            </w:pPr>
            <w:r w:rsidRPr="0096136E">
              <w:rPr>
                <w:rFonts w:ascii="Calibri" w:eastAsia="Times New Roman" w:hAnsi="Calibri" w:cs="Calibri"/>
                <w:color w:val="323130"/>
                <w:sz w:val="22"/>
                <w:szCs w:val="22"/>
                <w:lang w:val="en-US"/>
              </w:rPr>
              <w:t xml:space="preserve">Is the vendor expected to quote for the unloading of the personal effects from the container/truck into the residence? </w:t>
            </w:r>
          </w:p>
        </w:tc>
        <w:tc>
          <w:tcPr>
            <w:tcW w:w="5580" w:type="dxa"/>
          </w:tcPr>
          <w:p w14:paraId="4D0FC110" w14:textId="5D00A382" w:rsidR="005367E9" w:rsidRPr="00690277" w:rsidRDefault="00CF1CEA" w:rsidP="002848E7">
            <w:pPr>
              <w:pBdr>
                <w:top w:val="none" w:sz="0" w:space="0" w:color="auto"/>
                <w:left w:val="none" w:sz="0" w:space="0" w:color="auto"/>
                <w:bottom w:val="none" w:sz="0" w:space="0" w:color="auto"/>
                <w:right w:val="none" w:sz="0" w:space="0" w:color="auto"/>
                <w:between w:val="none" w:sz="0" w:space="0" w:color="auto"/>
              </w:pBdr>
              <w:rPr>
                <w:rFonts w:ascii="Times New Roman" w:eastAsia="Calibri" w:hAnsi="Times New Roman" w:cs="Times New Roman"/>
                <w:color w:val="auto"/>
                <w:sz w:val="22"/>
                <w:szCs w:val="22"/>
                <w:lang w:val="en-US"/>
              </w:rPr>
            </w:pPr>
            <w:r>
              <w:rPr>
                <w:rFonts w:ascii="Times New Roman" w:eastAsia="Calibri" w:hAnsi="Times New Roman" w:cs="Times New Roman"/>
                <w:color w:val="auto"/>
                <w:sz w:val="22"/>
                <w:szCs w:val="22"/>
                <w:lang w:val="en-US"/>
              </w:rPr>
              <w:t xml:space="preserve">The vendor will quote for cost of unloading the container at the destination. </w:t>
            </w:r>
          </w:p>
        </w:tc>
      </w:tr>
      <w:tr w:rsidR="0096136E" w:rsidRPr="00690277" w14:paraId="53AFF517" w14:textId="77777777" w:rsidTr="002848E7">
        <w:tc>
          <w:tcPr>
            <w:tcW w:w="570" w:type="dxa"/>
          </w:tcPr>
          <w:p w14:paraId="425C5BF7" w14:textId="77777777" w:rsidR="0096136E" w:rsidRPr="00690277" w:rsidRDefault="0096136E"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p>
        </w:tc>
        <w:tc>
          <w:tcPr>
            <w:tcW w:w="4645" w:type="dxa"/>
          </w:tcPr>
          <w:p w14:paraId="6C40E779" w14:textId="5CE17E3E" w:rsidR="0096136E" w:rsidRPr="0096136E" w:rsidRDefault="0096136E" w:rsidP="0096136E">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Times New Roman" w:eastAsia="Times New Roman" w:hAnsi="Times New Roman" w:cs="Times New Roman"/>
                <w:color w:val="323130"/>
                <w:sz w:val="24"/>
                <w:szCs w:val="24"/>
                <w:lang w:val="en-CA"/>
              </w:rPr>
            </w:pPr>
            <w:r w:rsidRPr="0096136E">
              <w:rPr>
                <w:rFonts w:ascii="Times New Roman" w:eastAsia="Times New Roman" w:hAnsi="Times New Roman" w:cs="Times New Roman"/>
                <w:color w:val="323130"/>
                <w:sz w:val="24"/>
                <w:szCs w:val="24"/>
                <w:lang w:val="en-CA"/>
              </w:rPr>
              <w:t xml:space="preserve">Is the vendor expected to quote for the unpacking of all the personal effects from the shipping boxes/crates? </w:t>
            </w:r>
          </w:p>
        </w:tc>
        <w:tc>
          <w:tcPr>
            <w:tcW w:w="5580" w:type="dxa"/>
          </w:tcPr>
          <w:p w14:paraId="10FCF782" w14:textId="0481E509" w:rsidR="0096136E" w:rsidRPr="00690277" w:rsidRDefault="00CF1CEA" w:rsidP="002848E7">
            <w:pPr>
              <w:pBdr>
                <w:top w:val="none" w:sz="0" w:space="0" w:color="auto"/>
                <w:left w:val="none" w:sz="0" w:space="0" w:color="auto"/>
                <w:bottom w:val="none" w:sz="0" w:space="0" w:color="auto"/>
                <w:right w:val="none" w:sz="0" w:space="0" w:color="auto"/>
                <w:between w:val="none" w:sz="0" w:space="0" w:color="auto"/>
              </w:pBdr>
              <w:rPr>
                <w:rFonts w:ascii="Times New Roman" w:eastAsia="Calibri" w:hAnsi="Times New Roman" w:cs="Times New Roman"/>
                <w:color w:val="auto"/>
                <w:sz w:val="22"/>
                <w:szCs w:val="22"/>
                <w:lang w:val="en-US"/>
              </w:rPr>
            </w:pPr>
            <w:r w:rsidRPr="0096136E">
              <w:rPr>
                <w:rFonts w:ascii="Times New Roman" w:eastAsia="Times New Roman" w:hAnsi="Times New Roman" w:cs="Times New Roman"/>
                <w:i/>
                <w:iCs/>
                <w:color w:val="323130"/>
                <w:sz w:val="24"/>
                <w:szCs w:val="24"/>
                <w:lang w:val="en-CA"/>
              </w:rPr>
              <w:t>No, the unpacking is done by the transferee</w:t>
            </w:r>
          </w:p>
        </w:tc>
      </w:tr>
      <w:tr w:rsidR="0096136E" w:rsidRPr="00690277" w14:paraId="12445012" w14:textId="77777777" w:rsidTr="002848E7">
        <w:tc>
          <w:tcPr>
            <w:tcW w:w="570" w:type="dxa"/>
          </w:tcPr>
          <w:p w14:paraId="39ED80E2" w14:textId="77777777" w:rsidR="0096136E" w:rsidRPr="00690277" w:rsidRDefault="0096136E"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p>
        </w:tc>
        <w:tc>
          <w:tcPr>
            <w:tcW w:w="4645" w:type="dxa"/>
          </w:tcPr>
          <w:p w14:paraId="67761F49" w14:textId="1D335F86" w:rsidR="0096136E" w:rsidRPr="0096136E" w:rsidRDefault="0096136E" w:rsidP="0096136E">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Times New Roman" w:eastAsia="Times New Roman" w:hAnsi="Times New Roman" w:cs="Times New Roman"/>
                <w:color w:val="323130"/>
                <w:sz w:val="24"/>
                <w:szCs w:val="24"/>
                <w:lang w:val="en-CA"/>
              </w:rPr>
            </w:pPr>
            <w:r w:rsidRPr="0096136E">
              <w:rPr>
                <w:rFonts w:ascii="Times New Roman" w:eastAsia="Times New Roman" w:hAnsi="Times New Roman" w:cs="Times New Roman"/>
                <w:color w:val="323130"/>
                <w:sz w:val="24"/>
                <w:szCs w:val="24"/>
                <w:lang w:val="en-CA"/>
              </w:rPr>
              <w:t xml:space="preserve">Is the vendor expected to quote for the removal of the packing </w:t>
            </w:r>
            <w:r w:rsidR="00CF1CEA" w:rsidRPr="0096136E">
              <w:rPr>
                <w:rFonts w:ascii="Times New Roman" w:eastAsia="Times New Roman" w:hAnsi="Times New Roman" w:cs="Times New Roman"/>
                <w:color w:val="323130"/>
                <w:sz w:val="24"/>
                <w:szCs w:val="24"/>
                <w:lang w:val="en-CA"/>
              </w:rPr>
              <w:t>material</w:t>
            </w:r>
            <w:r w:rsidRPr="0096136E">
              <w:rPr>
                <w:rFonts w:ascii="Times New Roman" w:eastAsia="Times New Roman" w:hAnsi="Times New Roman" w:cs="Times New Roman"/>
                <w:color w:val="323130"/>
                <w:sz w:val="24"/>
                <w:szCs w:val="24"/>
                <w:lang w:val="en-CA"/>
              </w:rPr>
              <w:t xml:space="preserve"> at the end of the move? </w:t>
            </w:r>
          </w:p>
        </w:tc>
        <w:tc>
          <w:tcPr>
            <w:tcW w:w="5580" w:type="dxa"/>
          </w:tcPr>
          <w:p w14:paraId="399B34C6" w14:textId="415A9FF6" w:rsidR="0096136E" w:rsidRPr="00690277" w:rsidRDefault="00CF1CEA" w:rsidP="002848E7">
            <w:pPr>
              <w:pBdr>
                <w:top w:val="none" w:sz="0" w:space="0" w:color="auto"/>
                <w:left w:val="none" w:sz="0" w:space="0" w:color="auto"/>
                <w:bottom w:val="none" w:sz="0" w:space="0" w:color="auto"/>
                <w:right w:val="none" w:sz="0" w:space="0" w:color="auto"/>
                <w:between w:val="none" w:sz="0" w:space="0" w:color="auto"/>
              </w:pBdr>
              <w:rPr>
                <w:rFonts w:ascii="Times New Roman" w:eastAsia="Calibri" w:hAnsi="Times New Roman" w:cs="Times New Roman"/>
                <w:color w:val="auto"/>
                <w:sz w:val="22"/>
                <w:szCs w:val="22"/>
                <w:lang w:val="en-US"/>
              </w:rPr>
            </w:pPr>
            <w:r>
              <w:rPr>
                <w:rFonts w:ascii="Times New Roman" w:eastAsia="Calibri" w:hAnsi="Times New Roman" w:cs="Times New Roman"/>
                <w:color w:val="auto"/>
                <w:sz w:val="22"/>
                <w:szCs w:val="22"/>
                <w:lang w:val="en-US"/>
              </w:rPr>
              <w:t>No, this will be done by the transferee</w:t>
            </w:r>
          </w:p>
        </w:tc>
      </w:tr>
      <w:tr w:rsidR="0096136E" w:rsidRPr="00690277" w14:paraId="7D6FD5BF" w14:textId="77777777" w:rsidTr="002848E7">
        <w:tc>
          <w:tcPr>
            <w:tcW w:w="570" w:type="dxa"/>
          </w:tcPr>
          <w:p w14:paraId="02E5601B" w14:textId="4317229B" w:rsidR="0096136E" w:rsidRPr="00690277" w:rsidRDefault="0084793A"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w:t>
            </w:r>
          </w:p>
        </w:tc>
        <w:tc>
          <w:tcPr>
            <w:tcW w:w="4645" w:type="dxa"/>
          </w:tcPr>
          <w:p w14:paraId="34A49133" w14:textId="702D47B3" w:rsidR="0096136E" w:rsidRPr="00BB335E" w:rsidRDefault="0096136E" w:rsidP="00BB335E">
            <w:p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Times New Roman" w:eastAsia="Times New Roman" w:hAnsi="Times New Roman" w:cs="Times New Roman"/>
                <w:color w:val="323130"/>
                <w:sz w:val="24"/>
                <w:szCs w:val="24"/>
                <w:lang w:val="en-CA"/>
              </w:rPr>
            </w:pPr>
            <w:r w:rsidRPr="00BB335E">
              <w:rPr>
                <w:rFonts w:ascii="Times New Roman" w:eastAsia="Times New Roman" w:hAnsi="Times New Roman" w:cs="Times New Roman"/>
                <w:color w:val="323130"/>
                <w:sz w:val="24"/>
                <w:szCs w:val="24"/>
                <w:lang w:val="en-CA"/>
              </w:rPr>
              <w:t xml:space="preserve">In terms of shipping Incoterms, we understand that you are looking for a DDP </w:t>
            </w:r>
            <w:r w:rsidRPr="00BB335E">
              <w:rPr>
                <w:rFonts w:ascii="Times New Roman" w:eastAsia="Times New Roman" w:hAnsi="Times New Roman" w:cs="Times New Roman"/>
                <w:color w:val="323130"/>
                <w:sz w:val="24"/>
                <w:szCs w:val="24"/>
                <w:lang w:val="en-CA"/>
              </w:rPr>
              <w:lastRenderedPageBreak/>
              <w:t>service and that the vendor is expected to take care of and include in his offer the import brokerage services. Is this correct (any duties and taxes and unpredictable costs at the port of entry such as inspection fees can be billed back to Mercy Corps at cost</w:t>
            </w:r>
            <w:proofErr w:type="gramStart"/>
            <w:r w:rsidRPr="00BB335E">
              <w:rPr>
                <w:rFonts w:ascii="Times New Roman" w:eastAsia="Times New Roman" w:hAnsi="Times New Roman" w:cs="Times New Roman"/>
                <w:color w:val="323130"/>
                <w:sz w:val="24"/>
                <w:szCs w:val="24"/>
                <w:lang w:val="en-CA"/>
              </w:rPr>
              <w:t>) ?</w:t>
            </w:r>
            <w:proofErr w:type="gramEnd"/>
            <w:r w:rsidRPr="00BB335E">
              <w:rPr>
                <w:rFonts w:ascii="Times New Roman" w:eastAsia="Times New Roman" w:hAnsi="Times New Roman" w:cs="Times New Roman"/>
                <w:color w:val="323130"/>
                <w:sz w:val="24"/>
                <w:szCs w:val="24"/>
                <w:lang w:val="en-CA"/>
              </w:rPr>
              <w:t xml:space="preserve">  </w:t>
            </w:r>
          </w:p>
        </w:tc>
        <w:tc>
          <w:tcPr>
            <w:tcW w:w="5580" w:type="dxa"/>
          </w:tcPr>
          <w:p w14:paraId="28631D82" w14:textId="0ECE13E0" w:rsidR="0096136E" w:rsidRPr="00690277" w:rsidRDefault="00CF1CEA" w:rsidP="002848E7">
            <w:pPr>
              <w:pBdr>
                <w:top w:val="none" w:sz="0" w:space="0" w:color="auto"/>
                <w:left w:val="none" w:sz="0" w:space="0" w:color="auto"/>
                <w:bottom w:val="none" w:sz="0" w:space="0" w:color="auto"/>
                <w:right w:val="none" w:sz="0" w:space="0" w:color="auto"/>
                <w:between w:val="none" w:sz="0" w:space="0" w:color="auto"/>
              </w:pBdr>
              <w:rPr>
                <w:rFonts w:ascii="Times New Roman" w:eastAsia="Calibri" w:hAnsi="Times New Roman" w:cs="Times New Roman"/>
                <w:color w:val="auto"/>
                <w:sz w:val="22"/>
                <w:szCs w:val="22"/>
                <w:lang w:val="en-US"/>
              </w:rPr>
            </w:pPr>
            <w:r>
              <w:rPr>
                <w:rFonts w:ascii="Times New Roman" w:eastAsia="Calibri" w:hAnsi="Times New Roman" w:cs="Times New Roman"/>
                <w:color w:val="auto"/>
                <w:sz w:val="22"/>
                <w:szCs w:val="22"/>
                <w:lang w:val="en-US"/>
              </w:rPr>
              <w:lastRenderedPageBreak/>
              <w:t>Yes</w:t>
            </w:r>
            <w:r w:rsidR="0084793A">
              <w:rPr>
                <w:rFonts w:ascii="Times New Roman" w:eastAsia="Calibri" w:hAnsi="Times New Roman" w:cs="Times New Roman"/>
                <w:color w:val="auto"/>
                <w:sz w:val="22"/>
                <w:szCs w:val="22"/>
                <w:lang w:val="en-US"/>
              </w:rPr>
              <w:t>, this is correct.</w:t>
            </w:r>
          </w:p>
        </w:tc>
      </w:tr>
      <w:tr w:rsidR="00BB335E" w:rsidRPr="00690277" w14:paraId="78D77ED9" w14:textId="77777777" w:rsidTr="002848E7">
        <w:tc>
          <w:tcPr>
            <w:tcW w:w="570" w:type="dxa"/>
          </w:tcPr>
          <w:p w14:paraId="6A313B63" w14:textId="142496BD" w:rsidR="00BB335E" w:rsidRPr="00690277" w:rsidRDefault="0084793A"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w:t>
            </w:r>
          </w:p>
        </w:tc>
        <w:tc>
          <w:tcPr>
            <w:tcW w:w="4645" w:type="dxa"/>
          </w:tcPr>
          <w:p w14:paraId="7DC047DC" w14:textId="6BF25DD8" w:rsidR="00BB335E" w:rsidRPr="00BB335E" w:rsidRDefault="00BB335E" w:rsidP="0084793A">
            <w:p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Times New Roman" w:eastAsia="Times New Roman" w:hAnsi="Times New Roman" w:cs="Times New Roman"/>
                <w:color w:val="323130"/>
                <w:sz w:val="24"/>
                <w:szCs w:val="24"/>
                <w:lang w:val="en-CA"/>
              </w:rPr>
            </w:pPr>
            <w:r w:rsidRPr="00BB335E">
              <w:rPr>
                <w:rFonts w:ascii="Times New Roman" w:eastAsia="Times New Roman" w:hAnsi="Times New Roman" w:cs="Times New Roman"/>
                <w:color w:val="323130"/>
                <w:sz w:val="24"/>
                <w:szCs w:val="24"/>
                <w:lang w:val="en-CA"/>
              </w:rPr>
              <w:t xml:space="preserve">Can you confirm how we should handle fees such as demurrage/detention/storage at arrival? Personal effects shipment sometimes take time to customs clear and cannot exit a terminal during that time. Shipments often stay at a terminal longer than the free time provided by carriers. Can demurrage/detention/storage be billed back to Mercy Corps? </w:t>
            </w:r>
          </w:p>
        </w:tc>
        <w:tc>
          <w:tcPr>
            <w:tcW w:w="5580" w:type="dxa"/>
          </w:tcPr>
          <w:p w14:paraId="68644C6C" w14:textId="77777777" w:rsidR="0084793A" w:rsidRPr="00BB335E" w:rsidRDefault="0084793A" w:rsidP="0084793A">
            <w:p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Calibri" w:eastAsia="Times New Roman" w:hAnsi="Calibri" w:cs="Calibri"/>
                <w:color w:val="323130"/>
                <w:sz w:val="22"/>
                <w:szCs w:val="22"/>
                <w:lang w:val="en-US"/>
              </w:rPr>
            </w:pPr>
            <w:r w:rsidRPr="00BB335E">
              <w:rPr>
                <w:rFonts w:ascii="Times New Roman" w:eastAsia="Times New Roman" w:hAnsi="Times New Roman" w:cs="Times New Roman"/>
                <w:i/>
                <w:iCs/>
                <w:color w:val="323130"/>
                <w:sz w:val="24"/>
                <w:szCs w:val="24"/>
                <w:lang w:val="en-CA"/>
              </w:rPr>
              <w:t>Yes, </w:t>
            </w:r>
            <w:r w:rsidRPr="00BB335E">
              <w:rPr>
                <w:rFonts w:ascii="Times New Roman" w:eastAsia="Times New Roman" w:hAnsi="Times New Roman" w:cs="Times New Roman"/>
                <w:i/>
                <w:iCs/>
                <w:color w:val="323130"/>
                <w:sz w:val="24"/>
                <w:szCs w:val="24"/>
                <w:shd w:val="clear" w:color="auto" w:fill="FFFFFF"/>
                <w:lang w:val="en-CA"/>
              </w:rPr>
              <w:t>demurrage/detention/storage will be billed back to Mercy Corps</w:t>
            </w:r>
          </w:p>
          <w:p w14:paraId="5491CFA3" w14:textId="77777777" w:rsidR="00BB335E" w:rsidRPr="00690277" w:rsidRDefault="00BB335E" w:rsidP="002848E7">
            <w:pPr>
              <w:pBdr>
                <w:top w:val="none" w:sz="0" w:space="0" w:color="auto"/>
                <w:left w:val="none" w:sz="0" w:space="0" w:color="auto"/>
                <w:bottom w:val="none" w:sz="0" w:space="0" w:color="auto"/>
                <w:right w:val="none" w:sz="0" w:space="0" w:color="auto"/>
                <w:between w:val="none" w:sz="0" w:space="0" w:color="auto"/>
              </w:pBdr>
              <w:rPr>
                <w:rFonts w:ascii="Times New Roman" w:eastAsia="Calibri" w:hAnsi="Times New Roman" w:cs="Times New Roman"/>
                <w:color w:val="auto"/>
                <w:sz w:val="22"/>
                <w:szCs w:val="22"/>
                <w:lang w:val="en-US"/>
              </w:rPr>
            </w:pPr>
          </w:p>
        </w:tc>
      </w:tr>
      <w:tr w:rsidR="00BB335E" w:rsidRPr="00690277" w14:paraId="6F33C5BF" w14:textId="77777777" w:rsidTr="002848E7">
        <w:tc>
          <w:tcPr>
            <w:tcW w:w="570" w:type="dxa"/>
          </w:tcPr>
          <w:p w14:paraId="2731D8EB" w14:textId="5AB79C1D" w:rsidR="00BB335E" w:rsidRPr="00690277" w:rsidRDefault="0084793A" w:rsidP="00E627AA">
            <w:pPr>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w:t>
            </w:r>
          </w:p>
        </w:tc>
        <w:tc>
          <w:tcPr>
            <w:tcW w:w="4645" w:type="dxa"/>
          </w:tcPr>
          <w:p w14:paraId="3E5B77C1" w14:textId="0D347225" w:rsidR="00BB335E" w:rsidRPr="00BB335E" w:rsidRDefault="00BB335E" w:rsidP="0084793A">
            <w:p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Times New Roman" w:eastAsia="Times New Roman" w:hAnsi="Times New Roman" w:cs="Times New Roman"/>
                <w:color w:val="323130"/>
                <w:sz w:val="24"/>
                <w:szCs w:val="24"/>
                <w:lang w:val="en-CA"/>
              </w:rPr>
            </w:pPr>
            <w:r w:rsidRPr="00BB335E">
              <w:rPr>
                <w:rFonts w:ascii="Times New Roman" w:eastAsia="Times New Roman" w:hAnsi="Times New Roman" w:cs="Times New Roman"/>
                <w:color w:val="323130"/>
                <w:sz w:val="24"/>
                <w:szCs w:val="24"/>
                <w:lang w:val="en-CA"/>
              </w:rPr>
              <w:t>In Appendix A, in your summary of shipments of previous years, is there a difference between the mode of transport </w:t>
            </w:r>
            <w:r w:rsidRPr="00BB335E">
              <w:rPr>
                <w:rFonts w:ascii="Times New Roman" w:eastAsia="Times New Roman" w:hAnsi="Times New Roman" w:cs="Times New Roman"/>
                <w:i/>
                <w:iCs/>
                <w:color w:val="323130"/>
                <w:sz w:val="24"/>
                <w:szCs w:val="24"/>
                <w:lang w:val="en-CA"/>
              </w:rPr>
              <w:t>ocean</w:t>
            </w:r>
            <w:r w:rsidRPr="00BB335E">
              <w:rPr>
                <w:rFonts w:ascii="Times New Roman" w:eastAsia="Times New Roman" w:hAnsi="Times New Roman" w:cs="Times New Roman"/>
                <w:color w:val="323130"/>
                <w:sz w:val="24"/>
                <w:szCs w:val="24"/>
                <w:lang w:val="en-CA"/>
              </w:rPr>
              <w:t> &amp; </w:t>
            </w:r>
            <w:r w:rsidRPr="00BB335E">
              <w:rPr>
                <w:rFonts w:ascii="Times New Roman" w:eastAsia="Times New Roman" w:hAnsi="Times New Roman" w:cs="Times New Roman"/>
                <w:i/>
                <w:iCs/>
                <w:color w:val="323130"/>
                <w:sz w:val="24"/>
                <w:szCs w:val="24"/>
                <w:lang w:val="en-CA"/>
              </w:rPr>
              <w:t>surface</w:t>
            </w:r>
            <w:r w:rsidRPr="00BB335E">
              <w:rPr>
                <w:rFonts w:ascii="Times New Roman" w:eastAsia="Times New Roman" w:hAnsi="Times New Roman" w:cs="Times New Roman"/>
                <w:color w:val="323130"/>
                <w:sz w:val="24"/>
                <w:szCs w:val="24"/>
                <w:lang w:val="en-CA"/>
              </w:rPr>
              <w:t xml:space="preserve">? </w:t>
            </w:r>
          </w:p>
        </w:tc>
        <w:tc>
          <w:tcPr>
            <w:tcW w:w="5580" w:type="dxa"/>
          </w:tcPr>
          <w:p w14:paraId="6C98F5B5" w14:textId="078CA9E1" w:rsidR="0084793A" w:rsidRPr="00BB335E" w:rsidRDefault="0084793A" w:rsidP="0084793A">
            <w:pPr>
              <w:pBdr>
                <w:top w:val="none" w:sz="0" w:space="0" w:color="auto"/>
                <w:left w:val="none" w:sz="0" w:space="0" w:color="auto"/>
                <w:bottom w:val="none" w:sz="0" w:space="0" w:color="auto"/>
                <w:right w:val="none" w:sz="0" w:space="0" w:color="auto"/>
                <w:between w:val="none" w:sz="0" w:space="0" w:color="auto"/>
              </w:pBdr>
              <w:shd w:val="clear" w:color="auto" w:fill="FFFFFF"/>
              <w:spacing w:line="253" w:lineRule="atLeast"/>
              <w:rPr>
                <w:rFonts w:ascii="Calibri" w:eastAsia="Times New Roman" w:hAnsi="Calibri" w:cs="Calibri"/>
                <w:color w:val="323130"/>
                <w:sz w:val="22"/>
                <w:szCs w:val="22"/>
                <w:lang w:val="en-US"/>
              </w:rPr>
            </w:pPr>
            <w:r w:rsidRPr="00BB335E">
              <w:rPr>
                <w:rFonts w:ascii="Times New Roman" w:eastAsia="Times New Roman" w:hAnsi="Times New Roman" w:cs="Times New Roman"/>
                <w:i/>
                <w:iCs/>
                <w:color w:val="323130"/>
                <w:sz w:val="24"/>
                <w:szCs w:val="24"/>
                <w:shd w:val="clear" w:color="auto" w:fill="FFFFFF"/>
                <w:lang w:val="en-CA"/>
              </w:rPr>
              <w:t xml:space="preserve">No, </w:t>
            </w:r>
            <w:r w:rsidR="002474E5" w:rsidRPr="00BB335E">
              <w:rPr>
                <w:rFonts w:ascii="Times New Roman" w:eastAsia="Times New Roman" w:hAnsi="Times New Roman" w:cs="Times New Roman"/>
                <w:i/>
                <w:iCs/>
                <w:color w:val="323130"/>
                <w:sz w:val="24"/>
                <w:szCs w:val="24"/>
                <w:shd w:val="clear" w:color="auto" w:fill="FFFFFF"/>
                <w:lang w:val="en-CA"/>
              </w:rPr>
              <w:t>there</w:t>
            </w:r>
            <w:r w:rsidRPr="00BB335E">
              <w:rPr>
                <w:rFonts w:ascii="Times New Roman" w:eastAsia="Times New Roman" w:hAnsi="Times New Roman" w:cs="Times New Roman"/>
                <w:i/>
                <w:iCs/>
                <w:color w:val="323130"/>
                <w:sz w:val="24"/>
                <w:szCs w:val="24"/>
                <w:shd w:val="clear" w:color="auto" w:fill="FFFFFF"/>
                <w:lang w:val="en-CA"/>
              </w:rPr>
              <w:t xml:space="preserve"> is no difference. Ocean and surface are the same.</w:t>
            </w:r>
          </w:p>
          <w:p w14:paraId="560DEC6C" w14:textId="77777777" w:rsidR="00BB335E" w:rsidRPr="00690277" w:rsidRDefault="00BB335E" w:rsidP="002848E7">
            <w:pPr>
              <w:pBdr>
                <w:top w:val="none" w:sz="0" w:space="0" w:color="auto"/>
                <w:left w:val="none" w:sz="0" w:space="0" w:color="auto"/>
                <w:bottom w:val="none" w:sz="0" w:space="0" w:color="auto"/>
                <w:right w:val="none" w:sz="0" w:space="0" w:color="auto"/>
                <w:between w:val="none" w:sz="0" w:space="0" w:color="auto"/>
              </w:pBdr>
              <w:rPr>
                <w:rFonts w:ascii="Times New Roman" w:eastAsia="Calibri" w:hAnsi="Times New Roman" w:cs="Times New Roman"/>
                <w:color w:val="auto"/>
                <w:sz w:val="22"/>
                <w:szCs w:val="22"/>
                <w:lang w:val="en-US"/>
              </w:rPr>
            </w:pPr>
          </w:p>
        </w:tc>
      </w:tr>
    </w:tbl>
    <w:p w14:paraId="5F66F380" w14:textId="77777777" w:rsidR="007C753D" w:rsidRPr="002848E7" w:rsidRDefault="007C753D" w:rsidP="00833D89">
      <w:pPr>
        <w:jc w:val="both"/>
        <w:rPr>
          <w:rFonts w:ascii="Times New Roman" w:hAnsi="Times New Roman" w:cs="Times New Roman"/>
          <w:color w:val="auto"/>
          <w:sz w:val="22"/>
          <w:szCs w:val="22"/>
        </w:rPr>
      </w:pPr>
    </w:p>
    <w:p w14:paraId="6EA13456" w14:textId="7CF062EE" w:rsidR="00542BA0" w:rsidRPr="002848E7" w:rsidRDefault="00BC573A" w:rsidP="002848E7">
      <w:pPr>
        <w:jc w:val="both"/>
        <w:rPr>
          <w:rFonts w:ascii="Times New Roman" w:eastAsia="Times New Roman" w:hAnsi="Times New Roman" w:cs="Times New Roman"/>
          <w:b/>
          <w:color w:val="000000" w:themeColor="text1"/>
          <w:sz w:val="24"/>
          <w:szCs w:val="24"/>
        </w:rPr>
      </w:pPr>
      <w:r w:rsidRPr="00833D89">
        <w:rPr>
          <w:rFonts w:ascii="Times New Roman" w:eastAsia="Times New Roman" w:hAnsi="Times New Roman" w:cs="Times New Roman"/>
          <w:b/>
          <w:color w:val="000000" w:themeColor="text1"/>
          <w:sz w:val="24"/>
          <w:szCs w:val="24"/>
        </w:rPr>
        <w:t>All other terms and conditions</w:t>
      </w:r>
      <w:r w:rsidR="007C753D" w:rsidRPr="00833D89">
        <w:rPr>
          <w:rFonts w:ascii="Times New Roman" w:eastAsia="Times New Roman" w:hAnsi="Times New Roman" w:cs="Times New Roman"/>
          <w:b/>
          <w:color w:val="000000" w:themeColor="text1"/>
          <w:sz w:val="24"/>
          <w:szCs w:val="24"/>
        </w:rPr>
        <w:t xml:space="preserve"> in the tender </w:t>
      </w:r>
      <w:r w:rsidRPr="00833D89">
        <w:rPr>
          <w:rFonts w:ascii="Times New Roman" w:eastAsia="Times New Roman" w:hAnsi="Times New Roman" w:cs="Times New Roman"/>
          <w:b/>
          <w:color w:val="000000" w:themeColor="text1"/>
          <w:sz w:val="24"/>
          <w:szCs w:val="24"/>
        </w:rPr>
        <w:t>remain unchanged.</w:t>
      </w:r>
    </w:p>
    <w:p w14:paraId="3961BB28" w14:textId="77777777" w:rsidR="00542BA0" w:rsidRPr="00542BA0" w:rsidRDefault="00542BA0" w:rsidP="00542BA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auto"/>
          <w:sz w:val="22"/>
          <w:szCs w:val="22"/>
          <w:lang w:val="en-US"/>
        </w:rPr>
      </w:pPr>
    </w:p>
    <w:p w14:paraId="7555C75E" w14:textId="77777777" w:rsidR="00CB6EF5" w:rsidRPr="00833D89" w:rsidRDefault="00BC573A" w:rsidP="00833D89">
      <w:pPr>
        <w:jc w:val="both"/>
        <w:rPr>
          <w:rFonts w:ascii="Times New Roman" w:eastAsia="Times New Roman" w:hAnsi="Times New Roman" w:cs="Times New Roman"/>
          <w:color w:val="000000" w:themeColor="text1"/>
          <w:sz w:val="24"/>
          <w:szCs w:val="24"/>
        </w:rPr>
      </w:pPr>
      <w:r w:rsidRPr="00833D89">
        <w:rPr>
          <w:rFonts w:ascii="Times New Roman" w:eastAsia="Times New Roman" w:hAnsi="Times New Roman" w:cs="Times New Roman"/>
          <w:color w:val="000000" w:themeColor="text1"/>
          <w:sz w:val="24"/>
          <w:szCs w:val="24"/>
        </w:rPr>
        <w:t>*************************</w:t>
      </w:r>
    </w:p>
    <w:sectPr w:rsidR="00CB6EF5" w:rsidRPr="00833D89" w:rsidSect="00EE03AA">
      <w:headerReference w:type="default" r:id="rId7"/>
      <w:footerReference w:type="default" r:id="rId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62A0" w14:textId="77777777" w:rsidR="00F0799D" w:rsidRDefault="00F0799D">
      <w:pPr>
        <w:spacing w:after="0" w:line="240" w:lineRule="auto"/>
      </w:pPr>
      <w:r>
        <w:separator/>
      </w:r>
    </w:p>
  </w:endnote>
  <w:endnote w:type="continuationSeparator" w:id="0">
    <w:p w14:paraId="7FA2B0EA" w14:textId="77777777" w:rsidR="00F0799D" w:rsidRDefault="00F0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720109"/>
      <w:docPartObj>
        <w:docPartGallery w:val="Page Numbers (Bottom of Page)"/>
        <w:docPartUnique/>
      </w:docPartObj>
    </w:sdtPr>
    <w:sdtEndPr>
      <w:rPr>
        <w:color w:val="7F7F7F" w:themeColor="background1" w:themeShade="7F"/>
        <w:spacing w:val="60"/>
      </w:rPr>
    </w:sdtEndPr>
    <w:sdtContent>
      <w:p w14:paraId="2111EC1D" w14:textId="77777777" w:rsidR="00A40E62" w:rsidRDefault="00A40E6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930E3" w:rsidRPr="001930E3">
          <w:rPr>
            <w:b/>
            <w:bCs/>
            <w:noProof/>
          </w:rPr>
          <w:t>1</w:t>
        </w:r>
        <w:r>
          <w:rPr>
            <w:b/>
            <w:bCs/>
            <w:noProof/>
          </w:rPr>
          <w:fldChar w:fldCharType="end"/>
        </w:r>
        <w:r>
          <w:rPr>
            <w:b/>
            <w:bCs/>
          </w:rPr>
          <w:t xml:space="preserve"> | </w:t>
        </w:r>
        <w:r>
          <w:rPr>
            <w:color w:val="7F7F7F" w:themeColor="background1" w:themeShade="7F"/>
            <w:spacing w:val="60"/>
          </w:rPr>
          <w:t>Page</w:t>
        </w:r>
      </w:p>
    </w:sdtContent>
  </w:sdt>
  <w:p w14:paraId="479BCF81" w14:textId="77777777" w:rsidR="00A40E62" w:rsidRDefault="00A4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7770" w14:textId="77777777" w:rsidR="00F0799D" w:rsidRDefault="00F0799D">
      <w:pPr>
        <w:spacing w:after="0" w:line="240" w:lineRule="auto"/>
      </w:pPr>
      <w:r>
        <w:separator/>
      </w:r>
    </w:p>
  </w:footnote>
  <w:footnote w:type="continuationSeparator" w:id="0">
    <w:p w14:paraId="316E9B43" w14:textId="77777777" w:rsidR="00F0799D" w:rsidRDefault="00F0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DECD" w14:textId="77777777" w:rsidR="00CB6EF5" w:rsidRDefault="00BC573A">
    <w:pPr>
      <w:pStyle w:val="Title"/>
      <w:spacing w:before="0" w:after="0"/>
      <w:rPr>
        <w:sz w:val="36"/>
        <w:szCs w:val="36"/>
      </w:rPr>
    </w:pPr>
    <w:bookmarkStart w:id="2" w:name="_fxpprzt9v65c" w:colFirst="0" w:colLast="0"/>
    <w:bookmarkEnd w:id="2"/>
    <w:r>
      <w:rPr>
        <w:noProof/>
        <w:lang w:val="en-US"/>
      </w:rPr>
      <w:drawing>
        <wp:anchor distT="114300" distB="114300" distL="114300" distR="114300" simplePos="0" relativeHeight="251658240" behindDoc="0" locked="0" layoutInCell="1" hidden="0" allowOverlap="1" wp14:anchorId="38C2CFF0" wp14:editId="24AFEF0C">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3F0F3C22" w14:textId="1C9DA18B" w:rsidR="00CB6EF5" w:rsidRDefault="00CC0EF7">
    <w:pPr>
      <w:pStyle w:val="Title"/>
      <w:spacing w:before="0" w:after="0" w:line="240" w:lineRule="auto"/>
      <w:rPr>
        <w:sz w:val="36"/>
        <w:szCs w:val="36"/>
      </w:rPr>
    </w:pPr>
    <w:bookmarkStart w:id="3" w:name="_j8ygr4y4rt81" w:colFirst="0" w:colLast="0"/>
    <w:bookmarkEnd w:id="3"/>
    <w:r>
      <w:rPr>
        <w:sz w:val="36"/>
        <w:szCs w:val="36"/>
      </w:rPr>
      <w:t>Responses to queries raised on Tender No. G0</w:t>
    </w:r>
    <w:r w:rsidR="00BB335E">
      <w:rPr>
        <w:sz w:val="36"/>
        <w:szCs w:val="36"/>
      </w:rPr>
      <w:t>7/</w:t>
    </w:r>
    <w:r w:rsidR="005C2AA6">
      <w:rPr>
        <w:sz w:val="36"/>
        <w:szCs w:val="36"/>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8A2"/>
    <w:multiLevelType w:val="hybridMultilevel"/>
    <w:tmpl w:val="5D0ACB82"/>
    <w:lvl w:ilvl="0" w:tplc="1A44FE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A2BAF"/>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B30FE4"/>
    <w:multiLevelType w:val="hybridMultilevel"/>
    <w:tmpl w:val="B3206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B4426D"/>
    <w:multiLevelType w:val="hybridMultilevel"/>
    <w:tmpl w:val="1564E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DB447DC"/>
    <w:multiLevelType w:val="hybridMultilevel"/>
    <w:tmpl w:val="A5540C8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AD427C6"/>
    <w:multiLevelType w:val="hybridMultilevel"/>
    <w:tmpl w:val="1FC4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A25B4"/>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5394FAC"/>
    <w:multiLevelType w:val="multilevel"/>
    <w:tmpl w:val="9C644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A5376"/>
    <w:multiLevelType w:val="multilevel"/>
    <w:tmpl w:val="5CFA4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75C6E7D"/>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BD05A51"/>
    <w:multiLevelType w:val="multilevel"/>
    <w:tmpl w:val="406CF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0E30D97"/>
    <w:multiLevelType w:val="hybridMultilevel"/>
    <w:tmpl w:val="F2A06F1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3460BDA"/>
    <w:multiLevelType w:val="multilevel"/>
    <w:tmpl w:val="C70E0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096E13"/>
    <w:rsid w:val="000C3958"/>
    <w:rsid w:val="00123814"/>
    <w:rsid w:val="001930E3"/>
    <w:rsid w:val="001D15C2"/>
    <w:rsid w:val="001E2516"/>
    <w:rsid w:val="001E496D"/>
    <w:rsid w:val="002162EF"/>
    <w:rsid w:val="002474E5"/>
    <w:rsid w:val="0026719D"/>
    <w:rsid w:val="002848E7"/>
    <w:rsid w:val="002B4D1A"/>
    <w:rsid w:val="002C4FDB"/>
    <w:rsid w:val="00333C94"/>
    <w:rsid w:val="0042478C"/>
    <w:rsid w:val="00445862"/>
    <w:rsid w:val="004745E8"/>
    <w:rsid w:val="004762FD"/>
    <w:rsid w:val="004A0998"/>
    <w:rsid w:val="004B6617"/>
    <w:rsid w:val="004F50C2"/>
    <w:rsid w:val="005367E9"/>
    <w:rsid w:val="00542BA0"/>
    <w:rsid w:val="00564100"/>
    <w:rsid w:val="00572DEA"/>
    <w:rsid w:val="005C2AA6"/>
    <w:rsid w:val="006478B0"/>
    <w:rsid w:val="00690277"/>
    <w:rsid w:val="006D2DC5"/>
    <w:rsid w:val="007B43C5"/>
    <w:rsid w:val="007C753D"/>
    <w:rsid w:val="007F3524"/>
    <w:rsid w:val="007F502D"/>
    <w:rsid w:val="0080335F"/>
    <w:rsid w:val="00833D89"/>
    <w:rsid w:val="0084793A"/>
    <w:rsid w:val="00873664"/>
    <w:rsid w:val="008C6B64"/>
    <w:rsid w:val="0096136E"/>
    <w:rsid w:val="0099786E"/>
    <w:rsid w:val="009C6B39"/>
    <w:rsid w:val="009F0D3D"/>
    <w:rsid w:val="00A13294"/>
    <w:rsid w:val="00A40E62"/>
    <w:rsid w:val="00A51465"/>
    <w:rsid w:val="00AD6788"/>
    <w:rsid w:val="00B306BB"/>
    <w:rsid w:val="00B56F0D"/>
    <w:rsid w:val="00BA1D3C"/>
    <w:rsid w:val="00BB335E"/>
    <w:rsid w:val="00BB3688"/>
    <w:rsid w:val="00BC4229"/>
    <w:rsid w:val="00BC573A"/>
    <w:rsid w:val="00C04D35"/>
    <w:rsid w:val="00C2105F"/>
    <w:rsid w:val="00C5726B"/>
    <w:rsid w:val="00C67C6E"/>
    <w:rsid w:val="00CB6EF5"/>
    <w:rsid w:val="00CC0EF7"/>
    <w:rsid w:val="00CF1CEA"/>
    <w:rsid w:val="00DD531C"/>
    <w:rsid w:val="00E37641"/>
    <w:rsid w:val="00E5631C"/>
    <w:rsid w:val="00E627AA"/>
    <w:rsid w:val="00E7073A"/>
    <w:rsid w:val="00E73DC7"/>
    <w:rsid w:val="00E758EA"/>
    <w:rsid w:val="00E87182"/>
    <w:rsid w:val="00EE03AA"/>
    <w:rsid w:val="00EE6BA9"/>
    <w:rsid w:val="00EF70F4"/>
    <w:rsid w:val="00F0799D"/>
    <w:rsid w:val="00F30C7B"/>
    <w:rsid w:val="00F43264"/>
    <w:rsid w:val="00F475E2"/>
    <w:rsid w:val="00F83C92"/>
    <w:rsid w:val="00F8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0FFD"/>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B64"/>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paragraph" w:styleId="ListParagraph">
    <w:name w:val="List Paragraph"/>
    <w:basedOn w:val="Normal"/>
    <w:uiPriority w:val="34"/>
    <w:qFormat/>
    <w:rsid w:val="00BA1D3C"/>
    <w:pPr>
      <w:ind w:left="720"/>
      <w:contextualSpacing/>
    </w:pPr>
  </w:style>
  <w:style w:type="table" w:styleId="TableGrid">
    <w:name w:val="Table Grid"/>
    <w:basedOn w:val="TableNormal"/>
    <w:uiPriority w:val="39"/>
    <w:rsid w:val="00E3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F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328">
      <w:bodyDiv w:val="1"/>
      <w:marLeft w:val="0"/>
      <w:marRight w:val="0"/>
      <w:marTop w:val="0"/>
      <w:marBottom w:val="0"/>
      <w:divBdr>
        <w:top w:val="none" w:sz="0" w:space="0" w:color="auto"/>
        <w:left w:val="none" w:sz="0" w:space="0" w:color="auto"/>
        <w:bottom w:val="none" w:sz="0" w:space="0" w:color="auto"/>
        <w:right w:val="none" w:sz="0" w:space="0" w:color="auto"/>
      </w:divBdr>
    </w:div>
    <w:div w:id="51927745">
      <w:bodyDiv w:val="1"/>
      <w:marLeft w:val="0"/>
      <w:marRight w:val="0"/>
      <w:marTop w:val="0"/>
      <w:marBottom w:val="0"/>
      <w:divBdr>
        <w:top w:val="none" w:sz="0" w:space="0" w:color="auto"/>
        <w:left w:val="none" w:sz="0" w:space="0" w:color="auto"/>
        <w:bottom w:val="none" w:sz="0" w:space="0" w:color="auto"/>
        <w:right w:val="none" w:sz="0" w:space="0" w:color="auto"/>
      </w:divBdr>
    </w:div>
    <w:div w:id="115612308">
      <w:bodyDiv w:val="1"/>
      <w:marLeft w:val="0"/>
      <w:marRight w:val="0"/>
      <w:marTop w:val="0"/>
      <w:marBottom w:val="0"/>
      <w:divBdr>
        <w:top w:val="none" w:sz="0" w:space="0" w:color="auto"/>
        <w:left w:val="none" w:sz="0" w:space="0" w:color="auto"/>
        <w:bottom w:val="none" w:sz="0" w:space="0" w:color="auto"/>
        <w:right w:val="none" w:sz="0" w:space="0" w:color="auto"/>
      </w:divBdr>
    </w:div>
    <w:div w:id="278416626">
      <w:bodyDiv w:val="1"/>
      <w:marLeft w:val="0"/>
      <w:marRight w:val="0"/>
      <w:marTop w:val="0"/>
      <w:marBottom w:val="0"/>
      <w:divBdr>
        <w:top w:val="none" w:sz="0" w:space="0" w:color="auto"/>
        <w:left w:val="none" w:sz="0" w:space="0" w:color="auto"/>
        <w:bottom w:val="none" w:sz="0" w:space="0" w:color="auto"/>
        <w:right w:val="none" w:sz="0" w:space="0" w:color="auto"/>
      </w:divBdr>
    </w:div>
    <w:div w:id="425425513">
      <w:bodyDiv w:val="1"/>
      <w:marLeft w:val="0"/>
      <w:marRight w:val="0"/>
      <w:marTop w:val="0"/>
      <w:marBottom w:val="0"/>
      <w:divBdr>
        <w:top w:val="none" w:sz="0" w:space="0" w:color="auto"/>
        <w:left w:val="none" w:sz="0" w:space="0" w:color="auto"/>
        <w:bottom w:val="none" w:sz="0" w:space="0" w:color="auto"/>
        <w:right w:val="none" w:sz="0" w:space="0" w:color="auto"/>
      </w:divBdr>
    </w:div>
    <w:div w:id="430199738">
      <w:bodyDiv w:val="1"/>
      <w:marLeft w:val="0"/>
      <w:marRight w:val="0"/>
      <w:marTop w:val="0"/>
      <w:marBottom w:val="0"/>
      <w:divBdr>
        <w:top w:val="none" w:sz="0" w:space="0" w:color="auto"/>
        <w:left w:val="none" w:sz="0" w:space="0" w:color="auto"/>
        <w:bottom w:val="none" w:sz="0" w:space="0" w:color="auto"/>
        <w:right w:val="none" w:sz="0" w:space="0" w:color="auto"/>
      </w:divBdr>
    </w:div>
    <w:div w:id="468862112">
      <w:bodyDiv w:val="1"/>
      <w:marLeft w:val="0"/>
      <w:marRight w:val="0"/>
      <w:marTop w:val="0"/>
      <w:marBottom w:val="0"/>
      <w:divBdr>
        <w:top w:val="none" w:sz="0" w:space="0" w:color="auto"/>
        <w:left w:val="none" w:sz="0" w:space="0" w:color="auto"/>
        <w:bottom w:val="none" w:sz="0" w:space="0" w:color="auto"/>
        <w:right w:val="none" w:sz="0" w:space="0" w:color="auto"/>
      </w:divBdr>
    </w:div>
    <w:div w:id="474682268">
      <w:bodyDiv w:val="1"/>
      <w:marLeft w:val="0"/>
      <w:marRight w:val="0"/>
      <w:marTop w:val="0"/>
      <w:marBottom w:val="0"/>
      <w:divBdr>
        <w:top w:val="none" w:sz="0" w:space="0" w:color="auto"/>
        <w:left w:val="none" w:sz="0" w:space="0" w:color="auto"/>
        <w:bottom w:val="none" w:sz="0" w:space="0" w:color="auto"/>
        <w:right w:val="none" w:sz="0" w:space="0" w:color="auto"/>
      </w:divBdr>
    </w:div>
    <w:div w:id="495611055">
      <w:bodyDiv w:val="1"/>
      <w:marLeft w:val="0"/>
      <w:marRight w:val="0"/>
      <w:marTop w:val="0"/>
      <w:marBottom w:val="0"/>
      <w:divBdr>
        <w:top w:val="none" w:sz="0" w:space="0" w:color="auto"/>
        <w:left w:val="none" w:sz="0" w:space="0" w:color="auto"/>
        <w:bottom w:val="none" w:sz="0" w:space="0" w:color="auto"/>
        <w:right w:val="none" w:sz="0" w:space="0" w:color="auto"/>
      </w:divBdr>
    </w:div>
    <w:div w:id="496113116">
      <w:bodyDiv w:val="1"/>
      <w:marLeft w:val="0"/>
      <w:marRight w:val="0"/>
      <w:marTop w:val="0"/>
      <w:marBottom w:val="0"/>
      <w:divBdr>
        <w:top w:val="none" w:sz="0" w:space="0" w:color="auto"/>
        <w:left w:val="none" w:sz="0" w:space="0" w:color="auto"/>
        <w:bottom w:val="none" w:sz="0" w:space="0" w:color="auto"/>
        <w:right w:val="none" w:sz="0" w:space="0" w:color="auto"/>
      </w:divBdr>
    </w:div>
    <w:div w:id="609707903">
      <w:bodyDiv w:val="1"/>
      <w:marLeft w:val="0"/>
      <w:marRight w:val="0"/>
      <w:marTop w:val="0"/>
      <w:marBottom w:val="0"/>
      <w:divBdr>
        <w:top w:val="none" w:sz="0" w:space="0" w:color="auto"/>
        <w:left w:val="none" w:sz="0" w:space="0" w:color="auto"/>
        <w:bottom w:val="none" w:sz="0" w:space="0" w:color="auto"/>
        <w:right w:val="none" w:sz="0" w:space="0" w:color="auto"/>
      </w:divBdr>
    </w:div>
    <w:div w:id="688142610">
      <w:bodyDiv w:val="1"/>
      <w:marLeft w:val="0"/>
      <w:marRight w:val="0"/>
      <w:marTop w:val="0"/>
      <w:marBottom w:val="0"/>
      <w:divBdr>
        <w:top w:val="none" w:sz="0" w:space="0" w:color="auto"/>
        <w:left w:val="none" w:sz="0" w:space="0" w:color="auto"/>
        <w:bottom w:val="none" w:sz="0" w:space="0" w:color="auto"/>
        <w:right w:val="none" w:sz="0" w:space="0" w:color="auto"/>
      </w:divBdr>
    </w:div>
    <w:div w:id="767503478">
      <w:bodyDiv w:val="1"/>
      <w:marLeft w:val="0"/>
      <w:marRight w:val="0"/>
      <w:marTop w:val="0"/>
      <w:marBottom w:val="0"/>
      <w:divBdr>
        <w:top w:val="none" w:sz="0" w:space="0" w:color="auto"/>
        <w:left w:val="none" w:sz="0" w:space="0" w:color="auto"/>
        <w:bottom w:val="none" w:sz="0" w:space="0" w:color="auto"/>
        <w:right w:val="none" w:sz="0" w:space="0" w:color="auto"/>
      </w:divBdr>
    </w:div>
    <w:div w:id="918369288">
      <w:bodyDiv w:val="1"/>
      <w:marLeft w:val="0"/>
      <w:marRight w:val="0"/>
      <w:marTop w:val="0"/>
      <w:marBottom w:val="0"/>
      <w:divBdr>
        <w:top w:val="none" w:sz="0" w:space="0" w:color="auto"/>
        <w:left w:val="none" w:sz="0" w:space="0" w:color="auto"/>
        <w:bottom w:val="none" w:sz="0" w:space="0" w:color="auto"/>
        <w:right w:val="none" w:sz="0" w:space="0" w:color="auto"/>
      </w:divBdr>
    </w:div>
    <w:div w:id="935750295">
      <w:bodyDiv w:val="1"/>
      <w:marLeft w:val="0"/>
      <w:marRight w:val="0"/>
      <w:marTop w:val="0"/>
      <w:marBottom w:val="0"/>
      <w:divBdr>
        <w:top w:val="none" w:sz="0" w:space="0" w:color="auto"/>
        <w:left w:val="none" w:sz="0" w:space="0" w:color="auto"/>
        <w:bottom w:val="none" w:sz="0" w:space="0" w:color="auto"/>
        <w:right w:val="none" w:sz="0" w:space="0" w:color="auto"/>
      </w:divBdr>
    </w:div>
    <w:div w:id="1060176770">
      <w:bodyDiv w:val="1"/>
      <w:marLeft w:val="0"/>
      <w:marRight w:val="0"/>
      <w:marTop w:val="0"/>
      <w:marBottom w:val="0"/>
      <w:divBdr>
        <w:top w:val="none" w:sz="0" w:space="0" w:color="auto"/>
        <w:left w:val="none" w:sz="0" w:space="0" w:color="auto"/>
        <w:bottom w:val="none" w:sz="0" w:space="0" w:color="auto"/>
        <w:right w:val="none" w:sz="0" w:space="0" w:color="auto"/>
      </w:divBdr>
    </w:div>
    <w:div w:id="1101753311">
      <w:bodyDiv w:val="1"/>
      <w:marLeft w:val="0"/>
      <w:marRight w:val="0"/>
      <w:marTop w:val="0"/>
      <w:marBottom w:val="0"/>
      <w:divBdr>
        <w:top w:val="none" w:sz="0" w:space="0" w:color="auto"/>
        <w:left w:val="none" w:sz="0" w:space="0" w:color="auto"/>
        <w:bottom w:val="none" w:sz="0" w:space="0" w:color="auto"/>
        <w:right w:val="none" w:sz="0" w:space="0" w:color="auto"/>
      </w:divBdr>
    </w:div>
    <w:div w:id="1341279890">
      <w:bodyDiv w:val="1"/>
      <w:marLeft w:val="0"/>
      <w:marRight w:val="0"/>
      <w:marTop w:val="0"/>
      <w:marBottom w:val="0"/>
      <w:divBdr>
        <w:top w:val="none" w:sz="0" w:space="0" w:color="auto"/>
        <w:left w:val="none" w:sz="0" w:space="0" w:color="auto"/>
        <w:bottom w:val="none" w:sz="0" w:space="0" w:color="auto"/>
        <w:right w:val="none" w:sz="0" w:space="0" w:color="auto"/>
      </w:divBdr>
    </w:div>
    <w:div w:id="1450276822">
      <w:bodyDiv w:val="1"/>
      <w:marLeft w:val="0"/>
      <w:marRight w:val="0"/>
      <w:marTop w:val="0"/>
      <w:marBottom w:val="0"/>
      <w:divBdr>
        <w:top w:val="none" w:sz="0" w:space="0" w:color="auto"/>
        <w:left w:val="none" w:sz="0" w:space="0" w:color="auto"/>
        <w:bottom w:val="none" w:sz="0" w:space="0" w:color="auto"/>
        <w:right w:val="none" w:sz="0" w:space="0" w:color="auto"/>
      </w:divBdr>
    </w:div>
    <w:div w:id="1517307909">
      <w:bodyDiv w:val="1"/>
      <w:marLeft w:val="0"/>
      <w:marRight w:val="0"/>
      <w:marTop w:val="0"/>
      <w:marBottom w:val="0"/>
      <w:divBdr>
        <w:top w:val="none" w:sz="0" w:space="0" w:color="auto"/>
        <w:left w:val="none" w:sz="0" w:space="0" w:color="auto"/>
        <w:bottom w:val="none" w:sz="0" w:space="0" w:color="auto"/>
        <w:right w:val="none" w:sz="0" w:space="0" w:color="auto"/>
      </w:divBdr>
    </w:div>
    <w:div w:id="1774283471">
      <w:bodyDiv w:val="1"/>
      <w:marLeft w:val="0"/>
      <w:marRight w:val="0"/>
      <w:marTop w:val="0"/>
      <w:marBottom w:val="0"/>
      <w:divBdr>
        <w:top w:val="none" w:sz="0" w:space="0" w:color="auto"/>
        <w:left w:val="none" w:sz="0" w:space="0" w:color="auto"/>
        <w:bottom w:val="none" w:sz="0" w:space="0" w:color="auto"/>
        <w:right w:val="none" w:sz="0" w:space="0" w:color="auto"/>
      </w:divBdr>
    </w:div>
    <w:div w:id="1831360960">
      <w:bodyDiv w:val="1"/>
      <w:marLeft w:val="0"/>
      <w:marRight w:val="0"/>
      <w:marTop w:val="0"/>
      <w:marBottom w:val="0"/>
      <w:divBdr>
        <w:top w:val="none" w:sz="0" w:space="0" w:color="auto"/>
        <w:left w:val="none" w:sz="0" w:space="0" w:color="auto"/>
        <w:bottom w:val="none" w:sz="0" w:space="0" w:color="auto"/>
        <w:right w:val="none" w:sz="0" w:space="0" w:color="auto"/>
      </w:divBdr>
    </w:div>
    <w:div w:id="1885823310">
      <w:bodyDiv w:val="1"/>
      <w:marLeft w:val="0"/>
      <w:marRight w:val="0"/>
      <w:marTop w:val="0"/>
      <w:marBottom w:val="0"/>
      <w:divBdr>
        <w:top w:val="none" w:sz="0" w:space="0" w:color="auto"/>
        <w:left w:val="none" w:sz="0" w:space="0" w:color="auto"/>
        <w:bottom w:val="none" w:sz="0" w:space="0" w:color="auto"/>
        <w:right w:val="none" w:sz="0" w:space="0" w:color="auto"/>
      </w:divBdr>
    </w:div>
    <w:div w:id="2086417429">
      <w:bodyDiv w:val="1"/>
      <w:marLeft w:val="0"/>
      <w:marRight w:val="0"/>
      <w:marTop w:val="0"/>
      <w:marBottom w:val="0"/>
      <w:divBdr>
        <w:top w:val="none" w:sz="0" w:space="0" w:color="auto"/>
        <w:left w:val="none" w:sz="0" w:space="0" w:color="auto"/>
        <w:bottom w:val="none" w:sz="0" w:space="0" w:color="auto"/>
        <w:right w:val="none" w:sz="0" w:space="0" w:color="auto"/>
      </w:divBdr>
    </w:div>
    <w:div w:id="2091390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Mark Spencer</cp:lastModifiedBy>
  <cp:revision>2</cp:revision>
  <dcterms:created xsi:type="dcterms:W3CDTF">2021-12-13T16:17:00Z</dcterms:created>
  <dcterms:modified xsi:type="dcterms:W3CDTF">2021-12-13T16:17:00Z</dcterms:modified>
</cp:coreProperties>
</file>