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4BC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6050"/>
      </w:tblGrid>
      <w:tr w:rsidR="00CB6EF5" w14:paraId="20B14855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11" w14:textId="6D62E29E" w:rsidR="00CB6EF5" w:rsidRPr="00E627AA" w:rsidRDefault="00BC573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No:</w:t>
            </w:r>
            <w:r w:rsidR="00123814">
              <w:rPr>
                <w:b/>
                <w:sz w:val="28"/>
                <w:szCs w:val="28"/>
              </w:rPr>
              <w:t xml:space="preserve"> </w:t>
            </w:r>
            <w:bookmarkStart w:id="1" w:name="_Hlk82015862"/>
            <w:r w:rsidR="002C4FDB" w:rsidRPr="002C4FDB">
              <w:rPr>
                <w:b/>
              </w:rPr>
              <w:t>HQ05/2021</w:t>
            </w:r>
            <w:bookmarkEnd w:id="1"/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77777777" w:rsidR="00CB6EF5" w:rsidRPr="00E627AA" w:rsidRDefault="00CC0E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Responses to Queries raised</w:t>
            </w:r>
            <w:r w:rsidR="00E37641" w:rsidRPr="00E627AA">
              <w:rPr>
                <w:b/>
                <w:sz w:val="28"/>
                <w:szCs w:val="28"/>
              </w:rPr>
              <w:t xml:space="preserve"> by prospective tenderers</w:t>
            </w:r>
          </w:p>
        </w:tc>
      </w:tr>
      <w:tr w:rsidR="00CB6EF5" w14:paraId="3FA1210E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5023DAE8" w:rsidR="00CB6EF5" w:rsidRPr="00E627AA" w:rsidRDefault="00BC573A" w:rsidP="00C2105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Name:</w:t>
            </w:r>
            <w:r w:rsidR="00E37641" w:rsidRPr="00E627AA">
              <w:rPr>
                <w:b/>
                <w:sz w:val="28"/>
                <w:szCs w:val="28"/>
              </w:rPr>
              <w:t xml:space="preserve"> </w:t>
            </w:r>
            <w:r w:rsidR="002C4FDB" w:rsidRPr="002C4FDB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  <w:lang w:val="en-US"/>
              </w:rPr>
              <w:t>REQUEST FOR PROPOSAL – STUDY ON COVID 19 VACCINE HESITANCY IN THE SAHEL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5DD10A1C" w:rsidR="00CB6EF5" w:rsidRPr="00E627AA" w:rsidRDefault="00BC573A" w:rsidP="0012381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Date Issued:</w:t>
            </w:r>
            <w:r w:rsidR="00F30C7B">
              <w:rPr>
                <w:b/>
                <w:sz w:val="28"/>
                <w:szCs w:val="28"/>
              </w:rPr>
              <w:t xml:space="preserve"> </w:t>
            </w:r>
            <w:r w:rsidR="002C4FDB">
              <w:rPr>
                <w:b/>
                <w:sz w:val="28"/>
                <w:szCs w:val="28"/>
              </w:rPr>
              <w:t>1</w:t>
            </w:r>
            <w:r w:rsidR="00123814">
              <w:rPr>
                <w:b/>
                <w:sz w:val="28"/>
                <w:szCs w:val="28"/>
              </w:rPr>
              <w:t>5</w:t>
            </w:r>
            <w:r w:rsidR="00123814" w:rsidRPr="00123814">
              <w:rPr>
                <w:b/>
                <w:sz w:val="28"/>
                <w:szCs w:val="28"/>
                <w:vertAlign w:val="superscript"/>
              </w:rPr>
              <w:t>th</w:t>
            </w:r>
            <w:r w:rsidR="00123814">
              <w:rPr>
                <w:b/>
                <w:sz w:val="28"/>
                <w:szCs w:val="28"/>
              </w:rPr>
              <w:t xml:space="preserve"> </w:t>
            </w:r>
            <w:r w:rsidR="002C4FDB">
              <w:rPr>
                <w:b/>
                <w:sz w:val="28"/>
                <w:szCs w:val="28"/>
              </w:rPr>
              <w:t>September</w:t>
            </w:r>
            <w:r w:rsidR="00123814">
              <w:rPr>
                <w:b/>
                <w:sz w:val="28"/>
                <w:szCs w:val="28"/>
              </w:rPr>
              <w:t xml:space="preserve"> 2021</w:t>
            </w:r>
          </w:p>
        </w:tc>
      </w:tr>
    </w:tbl>
    <w:p w14:paraId="237DF45A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728BA0" w14:textId="19B50699" w:rsidR="00E37641" w:rsidRPr="006D2DC5" w:rsidRDefault="00CC0EF7" w:rsidP="002848E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This provides answers to qu</w:t>
      </w:r>
      <w:r w:rsidR="00F30C7B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eries raised from bidders </w:t>
      </w:r>
      <w:r w:rsidR="002C4FDB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by</w:t>
      </w:r>
      <w:r w:rsidR="00F30C7B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2C4FDB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C2105F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="00C2105F" w:rsidRPr="006D2D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 xml:space="preserve">th </w:t>
      </w:r>
      <w:r w:rsidR="000D62AF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September</w:t>
      </w:r>
      <w:r w:rsidR="00C2105F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2021 which was the deadline for receiving</w:t>
      </w:r>
      <w:r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queries. The responses are posted </w:t>
      </w:r>
      <w:r w:rsidR="001E2516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on website </w:t>
      </w:r>
      <w:r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for the benefit of all prospective bidders and does not disclose</w:t>
      </w:r>
      <w:r w:rsidR="00572DEA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the source</w:t>
      </w:r>
      <w:r w:rsidR="00BA1D3C" w:rsidRPr="006D2DC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4645"/>
        <w:gridCol w:w="5580"/>
      </w:tblGrid>
      <w:tr w:rsidR="00E627AA" w:rsidRPr="006D2DC5" w14:paraId="724E48BA" w14:textId="77777777" w:rsidTr="002848E7">
        <w:tc>
          <w:tcPr>
            <w:tcW w:w="570" w:type="dxa"/>
          </w:tcPr>
          <w:p w14:paraId="6D635B34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No. </w:t>
            </w:r>
          </w:p>
        </w:tc>
        <w:tc>
          <w:tcPr>
            <w:tcW w:w="4645" w:type="dxa"/>
          </w:tcPr>
          <w:p w14:paraId="17AED12E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Question </w:t>
            </w:r>
          </w:p>
        </w:tc>
        <w:tc>
          <w:tcPr>
            <w:tcW w:w="5580" w:type="dxa"/>
          </w:tcPr>
          <w:p w14:paraId="289B8BC8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Response </w:t>
            </w:r>
          </w:p>
        </w:tc>
      </w:tr>
      <w:tr w:rsidR="002848E7" w:rsidRPr="006D2DC5" w14:paraId="439867BA" w14:textId="77777777" w:rsidTr="002848E7">
        <w:tc>
          <w:tcPr>
            <w:tcW w:w="570" w:type="dxa"/>
          </w:tcPr>
          <w:p w14:paraId="4048F5F1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5" w:type="dxa"/>
          </w:tcPr>
          <w:p w14:paraId="5F2F433A" w14:textId="196C4B29" w:rsidR="00E37641" w:rsidRPr="006D2DC5" w:rsidRDefault="00445862" w:rsidP="00E758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We would like to enquire if you have set tentative dates or a timeframe in which you wish the study to take place in. </w:t>
            </w:r>
            <w:r w:rsidR="002C4FDB"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Unfortunately,</w:t>
            </w: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these are not available In the Terms of Reference of the assignment.</w:t>
            </w:r>
          </w:p>
        </w:tc>
        <w:tc>
          <w:tcPr>
            <w:tcW w:w="5580" w:type="dxa"/>
          </w:tcPr>
          <w:p w14:paraId="3332EC1A" w14:textId="4745FC84" w:rsidR="00B56F0D" w:rsidRPr="006D2DC5" w:rsidRDefault="00E87182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Applicants will be required to include the activities and proposed timelines in their technical proposal. These will be </w:t>
            </w:r>
            <w:proofErr w:type="gramStart"/>
            <w:r w:rsidRPr="006D2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refined</w:t>
            </w:r>
            <w:proofErr w:type="gramEnd"/>
            <w:r w:rsidRPr="006D2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dates included during negotiation with the successful firm at the pre-contract meeting</w:t>
            </w:r>
          </w:p>
        </w:tc>
      </w:tr>
      <w:tr w:rsidR="002848E7" w:rsidRPr="006D2DC5" w14:paraId="706E5CF3" w14:textId="77777777" w:rsidTr="002848E7">
        <w:tc>
          <w:tcPr>
            <w:tcW w:w="570" w:type="dxa"/>
          </w:tcPr>
          <w:p w14:paraId="48D032F2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45" w:type="dxa"/>
          </w:tcPr>
          <w:p w14:paraId="74D5E71A" w14:textId="6A1D2EC5" w:rsidR="00E37641" w:rsidRPr="006D2DC5" w:rsidRDefault="00445862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GB"/>
              </w:rPr>
            </w:pPr>
            <w:r w:rsidRPr="006D2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 want to inquire </w:t>
            </w:r>
            <w:r w:rsidRPr="006D2DC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what the expected level of effort is and the maximum budget or budget range available for this activity</w:t>
            </w:r>
          </w:p>
        </w:tc>
        <w:tc>
          <w:tcPr>
            <w:tcW w:w="5580" w:type="dxa"/>
          </w:tcPr>
          <w:p w14:paraId="6F424FEE" w14:textId="77777777" w:rsidR="00445862" w:rsidRPr="006D2DC5" w:rsidRDefault="00445862" w:rsidP="0044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We have provided the Scope of Work including the expected deliverables and interested firms are to send to us a proposal on the methodology they will adopt to achieve the deliverables and the financial proposal from their end. </w:t>
            </w:r>
          </w:p>
          <w:p w14:paraId="4D0FC110" w14:textId="2FE904DC" w:rsidR="00E37641" w:rsidRPr="006D2DC5" w:rsidRDefault="00445862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We do not normally share the budget as we are hoping to get a technically acceptable proposal with a competitive financial proposal. </w:t>
            </w:r>
          </w:p>
        </w:tc>
      </w:tr>
      <w:tr w:rsidR="002848E7" w:rsidRPr="006D2DC5" w14:paraId="023C53C9" w14:textId="77777777" w:rsidTr="002848E7">
        <w:tc>
          <w:tcPr>
            <w:tcW w:w="570" w:type="dxa"/>
          </w:tcPr>
          <w:p w14:paraId="54F0C3D2" w14:textId="77777777" w:rsidR="00E37641" w:rsidRPr="006D2DC5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645" w:type="dxa"/>
          </w:tcPr>
          <w:p w14:paraId="7F938369" w14:textId="603C3347" w:rsidR="00E37641" w:rsidRPr="006D2DC5" w:rsidRDefault="000C3958" w:rsidP="00284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(a) The </w:t>
            </w:r>
            <w:proofErr w:type="spellStart"/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RfP</w:t>
            </w:r>
            <w:proofErr w:type="spellEnd"/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talks about "rounds of surveys". Is the Mercy Corps team envisioning one round of survey per each of the three countries or multiple rounds per country? </w:t>
            </w:r>
          </w:p>
        </w:tc>
        <w:tc>
          <w:tcPr>
            <w:tcW w:w="5580" w:type="dxa"/>
          </w:tcPr>
          <w:p w14:paraId="7B0E6704" w14:textId="77777777" w:rsidR="000C3958" w:rsidRPr="000C3958" w:rsidRDefault="000C3958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One round of survey per country</w:t>
            </w:r>
          </w:p>
          <w:p w14:paraId="08460BB8" w14:textId="2F154F57" w:rsidR="001930E3" w:rsidRPr="006D2DC5" w:rsidRDefault="001930E3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848E7" w:rsidRPr="006D2DC5" w14:paraId="22E2ECA0" w14:textId="77777777" w:rsidTr="002848E7">
        <w:tc>
          <w:tcPr>
            <w:tcW w:w="570" w:type="dxa"/>
          </w:tcPr>
          <w:p w14:paraId="1564492B" w14:textId="00881FC3" w:rsidR="002848E7" w:rsidRPr="006D2DC5" w:rsidRDefault="002848E7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645" w:type="dxa"/>
          </w:tcPr>
          <w:p w14:paraId="4357A11B" w14:textId="1C7D6D74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RfP</w:t>
            </w:r>
            <w:proofErr w:type="spellEnd"/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talks about a series of workshops being part of the assignment. Are these intended to be qualitative group discussions and workshops with Mercy Corps team/experts in the sector OR are these intended for disseminating the results?</w:t>
            </w:r>
          </w:p>
        </w:tc>
        <w:tc>
          <w:tcPr>
            <w:tcW w:w="5580" w:type="dxa"/>
          </w:tcPr>
          <w:p w14:paraId="13CC6247" w14:textId="392598F4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Workshops will be required to design the surveys and there might be some group discussions, this is to be discussed with the selected company</w:t>
            </w:r>
          </w:p>
        </w:tc>
      </w:tr>
      <w:tr w:rsidR="002848E7" w:rsidRPr="006D2DC5" w14:paraId="49CEFEDE" w14:textId="77777777" w:rsidTr="002848E7">
        <w:tc>
          <w:tcPr>
            <w:tcW w:w="570" w:type="dxa"/>
          </w:tcPr>
          <w:p w14:paraId="761E2312" w14:textId="01371DB6" w:rsidR="002848E7" w:rsidRPr="006D2DC5" w:rsidRDefault="002848E7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645" w:type="dxa"/>
          </w:tcPr>
          <w:p w14:paraId="7D345AC1" w14:textId="5BB6442F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Is it fair to assume that the data collection activity limited to the individual/household level?</w:t>
            </w:r>
          </w:p>
        </w:tc>
        <w:tc>
          <w:tcPr>
            <w:tcW w:w="5580" w:type="dxa"/>
          </w:tcPr>
          <w:p w14:paraId="5C8A89A2" w14:textId="02AC4E0A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Yes, that is right.</w:t>
            </w:r>
          </w:p>
        </w:tc>
      </w:tr>
      <w:tr w:rsidR="002848E7" w:rsidRPr="006D2DC5" w14:paraId="49DAE8B9" w14:textId="77777777" w:rsidTr="002848E7">
        <w:tc>
          <w:tcPr>
            <w:tcW w:w="570" w:type="dxa"/>
          </w:tcPr>
          <w:p w14:paraId="04F915C7" w14:textId="3A7B867E" w:rsidR="002848E7" w:rsidRPr="006D2DC5" w:rsidRDefault="002848E7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D2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45" w:type="dxa"/>
          </w:tcPr>
          <w:p w14:paraId="62C52964" w14:textId="158769BA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C39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Is the submission timeline of 21 September 2021 final or is an extension possible? I would say</w:t>
            </w:r>
          </w:p>
        </w:tc>
        <w:tc>
          <w:tcPr>
            <w:tcW w:w="5580" w:type="dxa"/>
          </w:tcPr>
          <w:p w14:paraId="40D1C0B6" w14:textId="52E4D5C0" w:rsidR="002848E7" w:rsidRPr="006D2DC5" w:rsidRDefault="002848E7" w:rsidP="000C3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The submission deadline will not be extended. Closing date remains 21</w:t>
            </w: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val="en-US"/>
              </w:rPr>
              <w:t>st</w:t>
            </w:r>
            <w:r w:rsidRPr="006D2DC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 xml:space="preserve"> September 2021 at 5.00 PM Pacific time. </w:t>
            </w:r>
          </w:p>
        </w:tc>
      </w:tr>
    </w:tbl>
    <w:p w14:paraId="5F66F380" w14:textId="77777777" w:rsidR="007C753D" w:rsidRPr="002848E7" w:rsidRDefault="007C753D" w:rsidP="00833D8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A13456" w14:textId="7CF062EE" w:rsidR="00542BA0" w:rsidRPr="002848E7" w:rsidRDefault="00BC573A" w:rsidP="002848E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other terms and conditions</w:t>
      </w:r>
      <w:r w:rsidR="007C753D" w:rsidRPr="00833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 the tender </w:t>
      </w:r>
      <w:r w:rsidRPr="00833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remain unchanged.</w:t>
      </w:r>
    </w:p>
    <w:p w14:paraId="3961BB28" w14:textId="77777777" w:rsidR="00542BA0" w:rsidRPr="00542BA0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libri" w:eastAsia="Calibri" w:hAnsi="Calibri" w:cs="Calibri"/>
          <w:color w:val="auto"/>
          <w:sz w:val="22"/>
          <w:szCs w:val="22"/>
          <w:lang w:val="en-US"/>
        </w:rPr>
      </w:pPr>
    </w:p>
    <w:p w14:paraId="7555C75E" w14:textId="77777777" w:rsidR="00CB6EF5" w:rsidRPr="00833D89" w:rsidRDefault="00BC573A" w:rsidP="00833D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*************************</w:t>
      </w:r>
    </w:p>
    <w:sectPr w:rsidR="00CB6EF5" w:rsidRPr="00833D89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E3A9" w14:textId="77777777" w:rsidR="00C923ED" w:rsidRDefault="00C923ED">
      <w:pPr>
        <w:spacing w:after="0" w:line="240" w:lineRule="auto"/>
      </w:pPr>
      <w:r>
        <w:separator/>
      </w:r>
    </w:p>
  </w:endnote>
  <w:endnote w:type="continuationSeparator" w:id="0">
    <w:p w14:paraId="65234B8F" w14:textId="77777777" w:rsidR="00C923ED" w:rsidRDefault="00C9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09C3" w14:textId="77777777" w:rsidR="00C923ED" w:rsidRDefault="00C923ED">
      <w:pPr>
        <w:spacing w:after="0" w:line="240" w:lineRule="auto"/>
      </w:pPr>
      <w:r>
        <w:separator/>
      </w:r>
    </w:p>
  </w:footnote>
  <w:footnote w:type="continuationSeparator" w:id="0">
    <w:p w14:paraId="1F5CAA6B" w14:textId="77777777" w:rsidR="00C923ED" w:rsidRDefault="00C9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2" w:name="_fxpprzt9v65c" w:colFirst="0" w:colLast="0"/>
    <w:bookmarkEnd w:id="2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77777777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3" w:name="_j8ygr4y4rt81" w:colFirst="0" w:colLast="0"/>
    <w:bookmarkEnd w:id="3"/>
    <w:r>
      <w:rPr>
        <w:sz w:val="36"/>
        <w:szCs w:val="36"/>
      </w:rPr>
      <w:t>Responses to queries raised on Tender No. G010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096E13"/>
    <w:rsid w:val="000C3958"/>
    <w:rsid w:val="000D62AF"/>
    <w:rsid w:val="00123814"/>
    <w:rsid w:val="001930E3"/>
    <w:rsid w:val="001D15C2"/>
    <w:rsid w:val="001E2516"/>
    <w:rsid w:val="001E496D"/>
    <w:rsid w:val="002162EF"/>
    <w:rsid w:val="0026719D"/>
    <w:rsid w:val="002848E7"/>
    <w:rsid w:val="002C4FDB"/>
    <w:rsid w:val="00333C94"/>
    <w:rsid w:val="0042478C"/>
    <w:rsid w:val="00445862"/>
    <w:rsid w:val="004762FD"/>
    <w:rsid w:val="004A0998"/>
    <w:rsid w:val="004B6617"/>
    <w:rsid w:val="00542BA0"/>
    <w:rsid w:val="00564100"/>
    <w:rsid w:val="00572DEA"/>
    <w:rsid w:val="006D2DC5"/>
    <w:rsid w:val="007B43C5"/>
    <w:rsid w:val="007C753D"/>
    <w:rsid w:val="007F3524"/>
    <w:rsid w:val="007F502D"/>
    <w:rsid w:val="0080335F"/>
    <w:rsid w:val="00833D89"/>
    <w:rsid w:val="00873664"/>
    <w:rsid w:val="008C6B64"/>
    <w:rsid w:val="0099786E"/>
    <w:rsid w:val="009F0D3D"/>
    <w:rsid w:val="00A40E62"/>
    <w:rsid w:val="00A51465"/>
    <w:rsid w:val="00B306BB"/>
    <w:rsid w:val="00B56F0D"/>
    <w:rsid w:val="00BA1D3C"/>
    <w:rsid w:val="00BB3688"/>
    <w:rsid w:val="00BC4229"/>
    <w:rsid w:val="00BC573A"/>
    <w:rsid w:val="00C04D35"/>
    <w:rsid w:val="00C2105F"/>
    <w:rsid w:val="00C67C6E"/>
    <w:rsid w:val="00C923ED"/>
    <w:rsid w:val="00CB6EF5"/>
    <w:rsid w:val="00CC0EF7"/>
    <w:rsid w:val="00DD531C"/>
    <w:rsid w:val="00E37641"/>
    <w:rsid w:val="00E5631C"/>
    <w:rsid w:val="00E627AA"/>
    <w:rsid w:val="00E758EA"/>
    <w:rsid w:val="00E87182"/>
    <w:rsid w:val="00EE03AA"/>
    <w:rsid w:val="00EE6BA9"/>
    <w:rsid w:val="00F30C7B"/>
    <w:rsid w:val="00F43264"/>
    <w:rsid w:val="00F475E2"/>
    <w:rsid w:val="00F83C92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Chris Mericle</cp:lastModifiedBy>
  <cp:revision>7</cp:revision>
  <dcterms:created xsi:type="dcterms:W3CDTF">2021-09-13T18:32:00Z</dcterms:created>
  <dcterms:modified xsi:type="dcterms:W3CDTF">2021-09-15T15:38:00Z</dcterms:modified>
</cp:coreProperties>
</file>