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C8DAC" w14:textId="77777777" w:rsidR="00D37C8C" w:rsidRDefault="000B6E93">
      <w:pPr>
        <w:pStyle w:val="Heading1"/>
      </w:pPr>
      <w:bookmarkStart w:id="0" w:name="_gjdgxs" w:colFirst="0" w:colLast="0"/>
      <w:bookmarkEnd w:id="0"/>
      <w:r>
        <w:t>DATOS RESPONSABLES - DEFINICIONES</w:t>
      </w:r>
    </w:p>
    <w:p w14:paraId="05A3BDAE" w14:textId="77777777" w:rsidR="00D37C8C" w:rsidRDefault="000B6E93">
      <w:pPr>
        <w:pStyle w:val="Heading2"/>
      </w:pPr>
      <w:bookmarkStart w:id="1" w:name="_30j0zll" w:colFirst="0" w:colLast="0"/>
      <w:bookmarkEnd w:id="1"/>
      <w:r>
        <w:t>Términos clave para los datos responsables, protección de los datos y seguridad de la información</w:t>
      </w:r>
    </w:p>
    <w:p w14:paraId="75B0668B" w14:textId="77777777" w:rsidR="00D37C8C" w:rsidRDefault="000B6E93">
      <w:pPr>
        <w:pStyle w:val="Heading5"/>
      </w:pPr>
      <w:bookmarkStart w:id="2" w:name="_1fob9te" w:colFirst="0" w:colLast="0"/>
      <w:bookmarkEnd w:id="2"/>
      <w:r>
        <w:t xml:space="preserve">JULIO DE 2020 </w:t>
      </w:r>
      <w:r>
        <w:br/>
      </w:r>
    </w:p>
    <w:p w14:paraId="0B5AD464" w14:textId="77777777" w:rsidR="00D37C8C" w:rsidRDefault="00D37C8C"/>
    <w:p w14:paraId="3692B767" w14:textId="77777777" w:rsidR="00D37C8C" w:rsidRDefault="000B6E93">
      <w:pPr>
        <w:pStyle w:val="Heading2"/>
      </w:pPr>
      <w:bookmarkStart w:id="3" w:name="_3znysh7" w:colFirst="0" w:colLast="0"/>
      <w:bookmarkEnd w:id="3"/>
      <w:r>
        <w:t>Conceptos básicos</w:t>
      </w:r>
    </w:p>
    <w:p w14:paraId="3592B14D" w14:textId="77777777" w:rsidR="00D37C8C" w:rsidRDefault="000B6E93">
      <w:pPr>
        <w:pStyle w:val="Heading3"/>
      </w:pPr>
      <w:bookmarkStart w:id="4" w:name="_2et92p0" w:colFirst="0" w:colLast="0"/>
      <w:bookmarkEnd w:id="4"/>
      <w:r>
        <w:t>Los datos responsables en Mercy Corps</w:t>
      </w:r>
    </w:p>
    <w:p w14:paraId="57A8AA5E" w14:textId="042EC049" w:rsidR="00D37C8C" w:rsidRDefault="000B6E93">
      <w:r>
        <w:t>Mercy Corps tiene un compromiso con la protección de los datos personales de los participantes del programa, los miembros del equipo, los visitantes y los socios de todo el mundo. El propósito de la</w:t>
      </w:r>
      <w:r w:rsidR="00F44B1B">
        <w:t xml:space="preserve"> </w:t>
      </w:r>
      <w:r w:rsidR="00F44B1B" w:rsidRPr="00F44B1B">
        <w:t>Política de datos responsables</w:t>
      </w:r>
      <w:r>
        <w:t xml:space="preserve"> </w:t>
      </w:r>
      <w:bookmarkStart w:id="5" w:name="_GoBack"/>
      <w:bookmarkEnd w:id="5"/>
      <w:r>
        <w:t xml:space="preserve">de Mercy Corps es establecer principios para el uso transparente, seguro y responsable de los datos personales en la agencia e incorporar esos principios a nuestro trabajo diario. </w:t>
      </w:r>
    </w:p>
    <w:p w14:paraId="7C9CB85A" w14:textId="77777777" w:rsidR="00D37C8C" w:rsidRDefault="000B6E93">
      <w:pPr>
        <w:pStyle w:val="Heading3"/>
      </w:pPr>
      <w:bookmarkStart w:id="6" w:name="_tyjcwt" w:colFirst="0" w:colLast="0"/>
      <w:bookmarkEnd w:id="6"/>
      <w:r>
        <w:t>Datos</w:t>
      </w:r>
    </w:p>
    <w:p w14:paraId="23595D97" w14:textId="77777777" w:rsidR="00D37C8C" w:rsidRDefault="000B6E93">
      <w:pPr>
        <w:rPr>
          <w:sz w:val="20"/>
          <w:szCs w:val="20"/>
        </w:rPr>
      </w:pPr>
      <w:r>
        <w:t>Toda unidad de información</w:t>
      </w:r>
      <w:r>
        <w:t xml:space="preserve">, compuesta por letras, números, símbolos, imágenes o cualquier combinación de estos. Los datos existen tanto en formato físico como digital. </w:t>
      </w:r>
    </w:p>
    <w:p w14:paraId="36683E4D" w14:textId="77777777" w:rsidR="00D37C8C" w:rsidRDefault="000B6E93">
      <w:pPr>
        <w:pStyle w:val="Heading3"/>
      </w:pPr>
      <w:bookmarkStart w:id="7" w:name="_kk5hrtvggbbp" w:colFirst="0" w:colLast="0"/>
      <w:bookmarkEnd w:id="7"/>
      <w:r>
        <w:t>Datos Persona de interés</w:t>
      </w:r>
    </w:p>
    <w:p w14:paraId="582ADEA5" w14:textId="77777777" w:rsidR="00D37C8C" w:rsidRDefault="000B6E93">
      <w:r>
        <w:t>Todo individuo al que se lo puede identificar directa o indirectamente, especialmente me</w:t>
      </w:r>
      <w:r>
        <w:t xml:space="preserve">diante referencia a los datos personales. </w:t>
      </w:r>
    </w:p>
    <w:p w14:paraId="7FAC5580" w14:textId="77777777" w:rsidR="00D37C8C" w:rsidRDefault="000B6E93">
      <w:pPr>
        <w:pStyle w:val="Heading3"/>
      </w:pPr>
      <w:bookmarkStart w:id="8" w:name="_3dy6vkm" w:colFirst="0" w:colLast="0"/>
      <w:bookmarkEnd w:id="8"/>
      <w:r>
        <w:t>Datos personales</w:t>
      </w:r>
    </w:p>
    <w:p w14:paraId="11590F7B" w14:textId="77777777" w:rsidR="00D37C8C" w:rsidRDefault="000B6E93">
      <w:r>
        <w:t>Información de identificación personal (PII) o información de identificación demográfica (DII), lo que incluye la información que se puede usar para identificar a una persona de interés o a cualqu</w:t>
      </w:r>
      <w:r>
        <w:t>ier grupo demográfico específico. Los ejemplos más comunes son el nombre, la dirección, el número de teléfono, la fecha de nacimiento y el número de seguro social o de identificación nacional.</w:t>
      </w:r>
    </w:p>
    <w:p w14:paraId="20B39E74" w14:textId="77777777" w:rsidR="00D37C8C" w:rsidRDefault="000B6E93">
      <w:pPr>
        <w:pStyle w:val="Heading3"/>
      </w:pPr>
      <w:bookmarkStart w:id="9" w:name="_1t3h5sf" w:colFirst="0" w:colLast="0"/>
      <w:bookmarkEnd w:id="9"/>
      <w:r>
        <w:t>Datos sensibles</w:t>
      </w:r>
    </w:p>
    <w:p w14:paraId="25D28788" w14:textId="77777777" w:rsidR="00D37C8C" w:rsidRDefault="000B6E93">
      <w:r>
        <w:t>Esta información generalmente se utiliza como b</w:t>
      </w:r>
      <w:r>
        <w:t>ase para apuntar a un grupo o individuo en particular. Los ejemplos más comunes son la raza, la religión, la opinión política, la orientación sexual, la salud o la información biométrica.</w:t>
      </w:r>
    </w:p>
    <w:p w14:paraId="18A63983" w14:textId="77777777" w:rsidR="00D37C8C" w:rsidRDefault="000B6E93">
      <w:pPr>
        <w:pStyle w:val="Heading3"/>
      </w:pPr>
      <w:bookmarkStart w:id="10" w:name="_4d34og8" w:colFirst="0" w:colLast="0"/>
      <w:bookmarkEnd w:id="10"/>
      <w:r>
        <w:t>Información de identificación personal (PII)</w:t>
      </w:r>
    </w:p>
    <w:p w14:paraId="3BF9068B" w14:textId="77777777" w:rsidR="00D37C8C" w:rsidRDefault="000B6E93">
      <w:r>
        <w:t>Información que está re</w:t>
      </w:r>
      <w:r>
        <w:t>lacionada con una persona física identificada o identificable ("persona de interés"); una persona identificable es una persona que puede ser identificada, directa o indirectamente, especialmente mediante referencia a un número de identificación o a uno o m</w:t>
      </w:r>
      <w:r>
        <w:t xml:space="preserve">ás factores específicos de su identidad física, fisiológica, mental, económica, cultural o social. </w:t>
      </w:r>
    </w:p>
    <w:p w14:paraId="5B7CE5ED" w14:textId="77777777" w:rsidR="00D37C8C" w:rsidRDefault="000B6E93">
      <w:pPr>
        <w:pStyle w:val="Heading3"/>
      </w:pPr>
      <w:bookmarkStart w:id="11" w:name="_2s8eyo1" w:colFirst="0" w:colLast="0"/>
      <w:bookmarkEnd w:id="11"/>
      <w:r>
        <w:t>Información de identificación demográfica (DII)</w:t>
      </w:r>
    </w:p>
    <w:p w14:paraId="618D905C" w14:textId="77777777" w:rsidR="00D37C8C" w:rsidRDefault="000B6E93">
      <w:r>
        <w:t>Información que se puede usar para identificar a una comunidad o a un colectivo en particular, ya sea geográ</w:t>
      </w:r>
      <w:r>
        <w:t xml:space="preserve">fico, étnico, religioso, económico o político. </w:t>
      </w:r>
    </w:p>
    <w:p w14:paraId="0EE7FC68" w14:textId="77777777" w:rsidR="00D37C8C" w:rsidRDefault="000B6E93">
      <w:pPr>
        <w:pStyle w:val="Heading3"/>
      </w:pPr>
      <w:bookmarkStart w:id="12" w:name="_17dp8vu" w:colFirst="0" w:colLast="0"/>
      <w:bookmarkEnd w:id="12"/>
      <w:r>
        <w:t>Procesador de datos</w:t>
      </w:r>
    </w:p>
    <w:p w14:paraId="74CAD33B" w14:textId="77777777" w:rsidR="00D37C8C" w:rsidRDefault="000B6E93">
      <w:r>
        <w:t>Persona física o jurídica, autoridad pública, agencia u otro organismo que procesa el contenido y el uso de los datos personales, la información de identificación personal o la información</w:t>
      </w:r>
      <w:r>
        <w:t xml:space="preserve"> de identificación demográfica, a solicitud del controlador de los datos. Al margen de si dichos datos son o no recolectados, almacenados, procesados o divulgados por esa parte o por un agente que lo represente. </w:t>
      </w:r>
    </w:p>
    <w:p w14:paraId="24167A24" w14:textId="77777777" w:rsidR="00D37C8C" w:rsidRDefault="000B6E93">
      <w:pPr>
        <w:pStyle w:val="Heading3"/>
      </w:pPr>
      <w:bookmarkStart w:id="13" w:name="_3rdcrjn" w:colFirst="0" w:colLast="0"/>
      <w:bookmarkEnd w:id="13"/>
      <w:r>
        <w:t>Controlador de los datos</w:t>
      </w:r>
    </w:p>
    <w:p w14:paraId="0D588CB9" w14:textId="77777777" w:rsidR="00D37C8C" w:rsidRDefault="000B6E93">
      <w:r>
        <w:t>Persona física o j</w:t>
      </w:r>
      <w:r>
        <w:t>urídica que, sola o en conjunto con otras personas, determina los objetivos y los medios para la recolección, el almacenamiento, el procesamiento o la difusión de los datos personales, la información de identificación personal o la información de identific</w:t>
      </w:r>
      <w:r>
        <w:t xml:space="preserve">ación demográfica. </w:t>
      </w:r>
      <w:r>
        <w:br/>
      </w:r>
    </w:p>
    <w:p w14:paraId="191B604A" w14:textId="77777777" w:rsidR="00D37C8C" w:rsidRDefault="000B6E93">
      <w:pPr>
        <w:pStyle w:val="Heading2"/>
        <w:rPr>
          <w:color w:val="C8102E"/>
          <w:sz w:val="28"/>
          <w:szCs w:val="28"/>
        </w:rPr>
      </w:pPr>
      <w:bookmarkStart w:id="14" w:name="_26in1rg" w:colFirst="0" w:colLast="0"/>
      <w:bookmarkEnd w:id="14"/>
      <w:r>
        <w:t>Enfoque de los datos</w:t>
      </w:r>
    </w:p>
    <w:p w14:paraId="4A49AA82" w14:textId="77777777" w:rsidR="00D37C8C" w:rsidRDefault="000B6E93">
      <w:pPr>
        <w:rPr>
          <w:b/>
          <w:color w:val="C8102E"/>
          <w:sz w:val="28"/>
          <w:szCs w:val="28"/>
        </w:rPr>
      </w:pPr>
      <w:r>
        <w:rPr>
          <w:b/>
          <w:color w:val="C8102E"/>
          <w:sz w:val="28"/>
          <w:szCs w:val="28"/>
        </w:rPr>
        <w:t>Manejo de los datos</w:t>
      </w:r>
      <w:r>
        <w:rPr>
          <w:b/>
          <w:color w:val="C8102E"/>
          <w:sz w:val="28"/>
          <w:szCs w:val="28"/>
        </w:rPr>
        <w:br/>
      </w:r>
      <w:r>
        <w:t>Abarca todas las disciplinas y procesos relacionados con el uso de los datos. Supuesto básico: los datos son un recurso que vale la pena proteger.</w:t>
      </w:r>
    </w:p>
    <w:p w14:paraId="071F1CD7" w14:textId="77777777" w:rsidR="00D37C8C" w:rsidRDefault="000B6E93">
      <w:pPr>
        <w:pStyle w:val="Heading3"/>
      </w:pPr>
      <w:bookmarkStart w:id="15" w:name="_lnxbz9" w:colFirst="0" w:colLast="0"/>
      <w:bookmarkEnd w:id="15"/>
      <w:r>
        <w:t>Interés legítimo</w:t>
      </w:r>
    </w:p>
    <w:p w14:paraId="4FA20EE4" w14:textId="77777777" w:rsidR="00D37C8C" w:rsidRDefault="000B6E93">
      <w:r>
        <w:t>Fundamento legal para procesar</w:t>
      </w:r>
      <w:r>
        <w:t xml:space="preserve"> los datos personales. El interés legítimo asume que hay un propósito válido y necesario para procesar los datos. Si un individuo ejerce su derecho a la privacidad de los datos, el interés legítimo puede ser invalidado.</w:t>
      </w:r>
    </w:p>
    <w:p w14:paraId="17220FCE" w14:textId="77777777" w:rsidR="00D37C8C" w:rsidRDefault="000B6E93">
      <w:pPr>
        <w:pStyle w:val="Heading3"/>
      </w:pPr>
      <w:bookmarkStart w:id="16" w:name="_35nkun2" w:colFirst="0" w:colLast="0"/>
      <w:bookmarkEnd w:id="16"/>
      <w:r>
        <w:t>Minimización de los datos</w:t>
      </w:r>
    </w:p>
    <w:p w14:paraId="10C5168C" w14:textId="77777777" w:rsidR="00D37C8C" w:rsidRDefault="000B6E93">
      <w:r>
        <w:t>Enfoque de recolección de los datos: recolectar solo los datos que son adecuados, relevantes y que se limitan a lo que es necesario en relación al interés legítimo para el procesamiento de los datos.</w:t>
      </w:r>
    </w:p>
    <w:p w14:paraId="73FEC1FD" w14:textId="77777777" w:rsidR="00D37C8C" w:rsidRDefault="000B6E93">
      <w:pPr>
        <w:pStyle w:val="Heading3"/>
      </w:pPr>
      <w:bookmarkStart w:id="17" w:name="_1ksv4uv" w:colFirst="0" w:colLast="0"/>
      <w:bookmarkEnd w:id="17"/>
      <w:r>
        <w:t>Desidentificación</w:t>
      </w:r>
    </w:p>
    <w:p w14:paraId="0F64EB8B" w14:textId="77777777" w:rsidR="00D37C8C" w:rsidRDefault="000B6E93">
      <w:r>
        <w:t>Todas las actividades o los métodos de</w:t>
      </w:r>
      <w:r>
        <w:t xml:space="preserve"> procesamiento de datos que funcionan para evitar que se revele la identidad de la persona de interés. Tipos: Anonimización y pseudonimización. </w:t>
      </w:r>
    </w:p>
    <w:p w14:paraId="2DACE4E0" w14:textId="77777777" w:rsidR="00D37C8C" w:rsidRDefault="000B6E93">
      <w:pPr>
        <w:pStyle w:val="Heading3"/>
      </w:pPr>
      <w:bookmarkStart w:id="18" w:name="_44sinio" w:colFirst="0" w:colLast="0"/>
      <w:bookmarkEnd w:id="18"/>
      <w:r>
        <w:t>Anonimización</w:t>
      </w:r>
    </w:p>
    <w:p w14:paraId="5CD533C0" w14:textId="77777777" w:rsidR="00D37C8C" w:rsidRDefault="000B6E93">
      <w:r>
        <w:t>Proceso por el cual los datos personales se convierten en anónimos, de modo que ya no se pueda id</w:t>
      </w:r>
      <w:r>
        <w:t xml:space="preserve">entificar a la persona de interés.  Los métodos más comunes son, entre otros, quitar determinada cantidad de datos personales o aplicar un rango de valores en determinados conjuntos de datos personales. </w:t>
      </w:r>
    </w:p>
    <w:p w14:paraId="7A2F2670" w14:textId="77777777" w:rsidR="00D37C8C" w:rsidRDefault="000B6E93">
      <w:r>
        <w:rPr>
          <w:b/>
          <w:color w:val="C8102E"/>
          <w:sz w:val="28"/>
          <w:szCs w:val="28"/>
        </w:rPr>
        <w:t>Pseudonimización</w:t>
      </w:r>
      <w:r>
        <w:br/>
        <w:t xml:space="preserve">Procesamiento de datos personales, </w:t>
      </w:r>
      <w:r>
        <w:t>de tal forma que estos datos ya no se pueden atribuir a una persona de interés específica sin el uso de información adicional, siempre que dicha información adicional se conserve aparte y esté sujeta a medidas técnicas y organizacionales que garanticen que</w:t>
      </w:r>
      <w:r>
        <w:t xml:space="preserve"> los datos personales no se le atribuyan a una persona física identificada o identificable.</w:t>
      </w:r>
    </w:p>
    <w:p w14:paraId="7DE280C8" w14:textId="77777777" w:rsidR="00D37C8C" w:rsidRDefault="000B6E93">
      <w:pPr>
        <w:pStyle w:val="Heading3"/>
      </w:pPr>
      <w:bookmarkStart w:id="19" w:name="_2jxsxqh" w:colFirst="0" w:colLast="0"/>
      <w:bookmarkEnd w:id="19"/>
      <w:r>
        <w:t>Consentimiento informado</w:t>
      </w:r>
    </w:p>
    <w:p w14:paraId="757380A6" w14:textId="77777777" w:rsidR="00D37C8C" w:rsidRDefault="000B6E93">
      <w:r>
        <w:t>Toda indicación de acuerdo libre, específica e informada de parte de la persona de interés, con respecto a la recolección y al procesamiento de los datos personales relacionados a dicho sujeto. Este acuerdo se puede dar mediante una declaración verbal o es</w:t>
      </w:r>
      <w:r>
        <w:t>crita o mediante una clara acción afirmativa. El acuerdo se debe obtener en el momento de la recolección de los datos personales, o tan pronto como sea posible posteriormente.</w:t>
      </w:r>
      <w:r>
        <w:br/>
      </w:r>
    </w:p>
    <w:p w14:paraId="6B1B5437" w14:textId="77777777" w:rsidR="00D37C8C" w:rsidRDefault="000B6E93">
      <w:pPr>
        <w:pStyle w:val="Heading2"/>
      </w:pPr>
      <w:bookmarkStart w:id="20" w:name="_z337ya" w:colFirst="0" w:colLast="0"/>
      <w:bookmarkEnd w:id="20"/>
      <w:r>
        <w:t>Fuentes de los datos</w:t>
      </w:r>
    </w:p>
    <w:p w14:paraId="127AC230" w14:textId="77777777" w:rsidR="00D37C8C" w:rsidRDefault="000B6E93">
      <w:pPr>
        <w:pStyle w:val="Heading3"/>
      </w:pPr>
      <w:bookmarkStart w:id="21" w:name="_3j2qqm3" w:colFirst="0" w:colLast="0"/>
      <w:bookmarkEnd w:id="21"/>
      <w:r>
        <w:t>Acuerdo de divulgación de datos (DSA)</w:t>
      </w:r>
    </w:p>
    <w:p w14:paraId="0A7856D3" w14:textId="77777777" w:rsidR="00D37C8C" w:rsidRDefault="000B6E93">
      <w:r>
        <w:t xml:space="preserve">Acuerdo entre Mercy </w:t>
      </w:r>
      <w:r>
        <w:t>Corps y un tercero que establece los términos y condiciones de uso de los datos personales, incluyendo qué parte de los datos se comparten, el modo de transferencia, cómo se pueden usar los datos, las medidas de seguridad de los datos y otros asuntos relac</w:t>
      </w:r>
      <w:r>
        <w:t xml:space="preserve">ionados. </w:t>
      </w:r>
    </w:p>
    <w:p w14:paraId="45A796A6" w14:textId="77777777" w:rsidR="00D37C8C" w:rsidRDefault="000B6E93">
      <w:pPr>
        <w:pStyle w:val="Heading3"/>
      </w:pPr>
      <w:bookmarkStart w:id="22" w:name="_1y810tw" w:colFirst="0" w:colLast="0"/>
      <w:bookmarkEnd w:id="22"/>
      <w:r>
        <w:t>Evaluación de impacto en la privacidad (PIA)</w:t>
      </w:r>
    </w:p>
    <w:p w14:paraId="494B2869" w14:textId="77777777" w:rsidR="00D37C8C" w:rsidRDefault="000B6E93">
      <w:r>
        <w:t>Proceso que asiste a las organizaciones en la identificación y el manejo de los riesgos de la privacidad relacionados con una nueva actividad, por ejemplo, nuevos programas, tecnología o políticas.</w:t>
      </w:r>
    </w:p>
    <w:p w14:paraId="635A1045" w14:textId="77777777" w:rsidR="00D37C8C" w:rsidRDefault="000B6E93">
      <w:pPr>
        <w:pStyle w:val="Heading3"/>
      </w:pPr>
      <w:bookmarkStart w:id="23" w:name="_4i7ojhp" w:colFirst="0" w:colLast="0"/>
      <w:bookmarkEnd w:id="23"/>
      <w:r>
        <w:t>Sol</w:t>
      </w:r>
      <w:r>
        <w:t>icitud de persona de interés</w:t>
      </w:r>
    </w:p>
    <w:p w14:paraId="112F15E3" w14:textId="77777777" w:rsidR="00D37C8C" w:rsidRDefault="000B6E93">
      <w:r>
        <w:t xml:space="preserve">Proceso por el cual una persona de interés solicitaría consultar, cambiar o eliminar sus datos personales o información complementaria. </w:t>
      </w:r>
      <w:r>
        <w:br/>
      </w:r>
    </w:p>
    <w:p w14:paraId="566771BE" w14:textId="77777777" w:rsidR="00D37C8C" w:rsidRDefault="000B6E93">
      <w:pPr>
        <w:pStyle w:val="Heading2"/>
      </w:pPr>
      <w:bookmarkStart w:id="24" w:name="_2xcytpi" w:colFirst="0" w:colLast="0"/>
      <w:bookmarkEnd w:id="24"/>
      <w:r>
        <w:t>Marco legal</w:t>
      </w:r>
    </w:p>
    <w:p w14:paraId="59835C6A" w14:textId="77777777" w:rsidR="00D37C8C" w:rsidRDefault="000B6E93">
      <w:pPr>
        <w:pStyle w:val="Heading3"/>
      </w:pPr>
      <w:bookmarkStart w:id="25" w:name="_1ci93xb" w:colFirst="0" w:colLast="0"/>
      <w:bookmarkEnd w:id="25"/>
      <w:r>
        <w:t>Reglamento General de Protección de Datos (RGPD)</w:t>
      </w:r>
    </w:p>
    <w:p w14:paraId="1F7D38E9" w14:textId="77777777" w:rsidR="00D37C8C" w:rsidRDefault="000B6E93">
      <w:r>
        <w:t>El Reglamento General de Pro</w:t>
      </w:r>
      <w:r>
        <w:t>tección de Datos es una normativa de la ley de la Unión Europea (UE) sobre la protección y privacidad de datos en la UE y el Espacio Económico Europeo (EEE). El RGPD principalmente apunta a darles a los individuos el control de sus datos personales y simpl</w:t>
      </w:r>
      <w:r>
        <w:t>ificar el entorno normativo para las actividades comerciales internacionales unificando la normativa dentro de la UE, así como también la transferencia de datos a países no pertenecientes a la UE.</w:t>
      </w:r>
    </w:p>
    <w:p w14:paraId="21FCF36D" w14:textId="77777777" w:rsidR="00D37C8C" w:rsidRDefault="000B6E93">
      <w:pPr>
        <w:pStyle w:val="Heading3"/>
      </w:pPr>
      <w:bookmarkStart w:id="26" w:name="_3whwml4" w:colFirst="0" w:colLast="0"/>
      <w:bookmarkEnd w:id="26"/>
      <w:r>
        <w:t>Delegado de protección de datos (DPO)</w:t>
      </w:r>
    </w:p>
    <w:p w14:paraId="00135998" w14:textId="77777777" w:rsidR="00D37C8C" w:rsidRDefault="000B6E93">
      <w:r>
        <w:t xml:space="preserve">Según el Artículo 37 </w:t>
      </w:r>
      <w:r>
        <w:t>del RGPD, si una organización recolecta o procesa los datos personales de los ciudadanos de la UE, la organización debe designar un delegado de protección de datos. Los delegados de protección de datos trabajan para asegurarse de que su organización cumpla</w:t>
      </w:r>
      <w:r>
        <w:t xml:space="preserve"> con el RGPD y que siga las mejores prácticas en la protección de datos y la privacidad. </w:t>
      </w:r>
    </w:p>
    <w:p w14:paraId="0160CA27" w14:textId="77777777" w:rsidR="00D37C8C" w:rsidRDefault="000B6E93">
      <w:r>
        <w:t xml:space="preserve">Mercy Corps Europe tiene un delegado de protección de datos, con quien se puede comunicar en </w:t>
      </w:r>
      <w:hyperlink r:id="rId6">
        <w:r>
          <w:rPr>
            <w:color w:val="1155CC"/>
            <w:u w:val="single"/>
          </w:rPr>
          <w:t>mce-dataprote</w:t>
        </w:r>
        <w:r>
          <w:rPr>
            <w:color w:val="1155CC"/>
            <w:u w:val="single"/>
          </w:rPr>
          <w:t>ction@mercycorps.org</w:t>
        </w:r>
      </w:hyperlink>
      <w:r>
        <w:t xml:space="preserve">. Al momento de redactar este documento, Mercy Corps Global no tiene un delegado de protección de datos, pero se puede comunicar con el equipo en </w:t>
      </w:r>
      <w:hyperlink r:id="rId7">
        <w:r>
          <w:rPr>
            <w:color w:val="1155CC"/>
            <w:u w:val="single"/>
          </w:rPr>
          <w:t>dataprotection@mercycorps.org</w:t>
        </w:r>
      </w:hyperlink>
      <w:r>
        <w:t>.</w:t>
      </w:r>
    </w:p>
    <w:p w14:paraId="7937FAE7" w14:textId="77777777" w:rsidR="00D37C8C" w:rsidRDefault="00D37C8C"/>
    <w:p w14:paraId="73A17B60" w14:textId="77777777" w:rsidR="00D37C8C" w:rsidRDefault="00D37C8C">
      <w:pPr>
        <w:ind w:left="5040"/>
      </w:pPr>
    </w:p>
    <w:sectPr w:rsidR="00D37C8C">
      <w:footerReference w:type="default" r:id="rId8"/>
      <w:footerReference w:type="first" r:id="rId9"/>
      <w:pgSz w:w="12240" w:h="15840"/>
      <w:pgMar w:top="1296" w:right="1080" w:bottom="1296" w:left="1080" w:header="720" w:footer="18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70FB8" w14:textId="77777777" w:rsidR="000B6E93" w:rsidRDefault="000B6E93">
      <w:pPr>
        <w:spacing w:after="0" w:line="240" w:lineRule="auto"/>
      </w:pPr>
      <w:r>
        <w:separator/>
      </w:r>
    </w:p>
  </w:endnote>
  <w:endnote w:type="continuationSeparator" w:id="0">
    <w:p w14:paraId="669D5E06" w14:textId="77777777" w:rsidR="000B6E93" w:rsidRDefault="000B6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A4072" w14:textId="77777777" w:rsidR="00D37C8C" w:rsidRDefault="000B6E93">
    <w:pPr>
      <w:pBdr>
        <w:top w:val="nil"/>
        <w:left w:val="nil"/>
        <w:bottom w:val="nil"/>
        <w:right w:val="nil"/>
        <w:between w:val="nil"/>
      </w:pBdr>
      <w:tabs>
        <w:tab w:val="center" w:pos="4680"/>
        <w:tab w:val="right" w:pos="9360"/>
      </w:tabs>
      <w:jc w:val="center"/>
      <w:rPr>
        <w:sz w:val="16"/>
        <w:szCs w:val="16"/>
      </w:rPr>
    </w:pPr>
    <w:r>
      <w:rPr>
        <w:b/>
        <w:color w:val="C8102E"/>
        <w:sz w:val="16"/>
        <w:szCs w:val="16"/>
      </w:rPr>
      <w:t>MERCY CORPS</w:t>
    </w:r>
    <w:r>
      <w:rPr>
        <w:color w:val="C8102E"/>
        <w:sz w:val="16"/>
        <w:szCs w:val="16"/>
      </w:rPr>
      <w:t xml:space="preserve"> </w:t>
    </w:r>
    <w:r>
      <w:rPr>
        <w:color w:val="D01D2B"/>
        <w:sz w:val="16"/>
        <w:szCs w:val="16"/>
      </w:rPr>
      <w:t xml:space="preserve">  </w:t>
    </w:r>
    <w:r>
      <w:rPr>
        <w:sz w:val="16"/>
        <w:szCs w:val="16"/>
      </w:rPr>
      <w:t>Datos responsables</w:t>
    </w:r>
    <w:r>
      <w:rPr>
        <w:b/>
        <w:sz w:val="16"/>
        <w:szCs w:val="16"/>
      </w:rPr>
      <w:t>:</w:t>
    </w:r>
    <w:r>
      <w:rPr>
        <w:sz w:val="16"/>
        <w:szCs w:val="16"/>
      </w:rPr>
      <w:t xml:space="preserve"> Definiciones  </w:t>
    </w:r>
    <w:r>
      <w:rPr>
        <w:b/>
        <w:noProof/>
      </w:rPr>
      <w:drawing>
        <wp:inline distT="0" distB="0" distL="0" distR="0" wp14:anchorId="4355BD3B" wp14:editId="4B496416">
          <wp:extent cx="33148" cy="8229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r="90977" b="70535"/>
                  <a:stretch>
                    <a:fillRect/>
                  </a:stretch>
                </pic:blipFill>
                <pic:spPr>
                  <a:xfrm>
                    <a:off x="0" y="0"/>
                    <a:ext cx="33148" cy="82296"/>
                  </a:xfrm>
                  <a:prstGeom prst="rect">
                    <a:avLst/>
                  </a:prstGeom>
                  <a:ln/>
                </pic:spPr>
              </pic:pic>
            </a:graphicData>
          </a:graphic>
        </wp:inline>
      </w:drawing>
    </w:r>
    <w:r>
      <w:rPr>
        <w:sz w:val="16"/>
        <w:szCs w:val="16"/>
      </w:rPr>
      <w:t xml:space="preserve">   </w:t>
    </w:r>
    <w:r>
      <w:rPr>
        <w:b/>
        <w:sz w:val="16"/>
        <w:szCs w:val="16"/>
      </w:rPr>
      <w:fldChar w:fldCharType="begin"/>
    </w:r>
    <w:r>
      <w:rPr>
        <w:b/>
        <w:sz w:val="16"/>
        <w:szCs w:val="16"/>
      </w:rPr>
      <w:instrText>PAGE</w:instrText>
    </w:r>
    <w:r>
      <w:rPr>
        <w:b/>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B0C0B" w14:textId="77777777" w:rsidR="00D37C8C" w:rsidRDefault="000B6E93">
    <w:pPr>
      <w:pBdr>
        <w:top w:val="nil"/>
        <w:left w:val="nil"/>
        <w:bottom w:val="nil"/>
        <w:right w:val="nil"/>
        <w:between w:val="nil"/>
      </w:pBdr>
      <w:tabs>
        <w:tab w:val="center" w:pos="4680"/>
        <w:tab w:val="right" w:pos="9360"/>
      </w:tabs>
      <w:rPr>
        <w:color w:val="4C515A"/>
      </w:rPr>
    </w:pPr>
    <w:r>
      <w:rPr>
        <w:noProof/>
      </w:rPr>
      <w:drawing>
        <wp:anchor distT="0" distB="0" distL="0" distR="0" simplePos="0" relativeHeight="251658240" behindDoc="0" locked="0" layoutInCell="1" hidden="0" allowOverlap="1" wp14:anchorId="59919029" wp14:editId="40544B83">
          <wp:simplePos x="0" y="0"/>
          <wp:positionH relativeFrom="column">
            <wp:posOffset>5147945</wp:posOffset>
          </wp:positionH>
          <wp:positionV relativeFrom="paragraph">
            <wp:posOffset>-429892</wp:posOffset>
          </wp:positionV>
          <wp:extent cx="1362456" cy="484632"/>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339" r="340"/>
                  <a:stretch>
                    <a:fillRect/>
                  </a:stretch>
                </pic:blipFill>
                <pic:spPr>
                  <a:xfrm>
                    <a:off x="0" y="0"/>
                    <a:ext cx="1362456" cy="484632"/>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86F72" w14:textId="77777777" w:rsidR="000B6E93" w:rsidRDefault="000B6E93">
      <w:pPr>
        <w:spacing w:after="0" w:line="240" w:lineRule="auto"/>
      </w:pPr>
      <w:r>
        <w:separator/>
      </w:r>
    </w:p>
  </w:footnote>
  <w:footnote w:type="continuationSeparator" w:id="0">
    <w:p w14:paraId="53C43455" w14:textId="77777777" w:rsidR="000B6E93" w:rsidRDefault="000B6E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C8C"/>
    <w:rsid w:val="000B6E93"/>
    <w:rsid w:val="00D37C8C"/>
    <w:rsid w:val="00F44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612E"/>
  <w15:docId w15:val="{16D9CFE5-40E4-4E6F-A4F8-8E00A43E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4D525A"/>
        <w:sz w:val="21"/>
        <w:szCs w:val="21"/>
        <w:lang w:val="es-419" w:eastAsia="en-US" w:bidi="ar-SA"/>
      </w:rPr>
    </w:rPrDefault>
    <w:pPrDefault>
      <w:pP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80" w:after="140" w:line="216" w:lineRule="auto"/>
      <w:outlineLvl w:val="0"/>
    </w:pPr>
    <w:rPr>
      <w:b/>
      <w:color w:val="C8102E"/>
      <w:sz w:val="48"/>
      <w:szCs w:val="48"/>
    </w:rPr>
  </w:style>
  <w:style w:type="paragraph" w:styleId="Heading2">
    <w:name w:val="heading 2"/>
    <w:basedOn w:val="Normal"/>
    <w:next w:val="Normal"/>
    <w:uiPriority w:val="9"/>
    <w:unhideWhenUsed/>
    <w:qFormat/>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unhideWhenUsed/>
    <w:qFormat/>
    <w:pPr>
      <w:keepNext/>
      <w:keepLines/>
      <w:spacing w:after="100" w:line="228" w:lineRule="auto"/>
      <w:outlineLvl w:val="2"/>
    </w:pPr>
    <w:rPr>
      <w:b/>
      <w:color w:val="C8102E"/>
      <w:sz w:val="28"/>
      <w:szCs w:val="28"/>
    </w:rPr>
  </w:style>
  <w:style w:type="paragraph" w:styleId="Heading4">
    <w:name w:val="heading 4"/>
    <w:basedOn w:val="Normal"/>
    <w:next w:val="Normal"/>
    <w:uiPriority w:val="9"/>
    <w:unhideWhenUsed/>
    <w:qFormat/>
    <w:pPr>
      <w:keepNext/>
      <w:keepLines/>
      <w:spacing w:before="40" w:after="40"/>
      <w:outlineLvl w:val="3"/>
    </w:pPr>
    <w:rPr>
      <w:b/>
      <w:sz w:val="24"/>
      <w:szCs w:val="24"/>
    </w:rPr>
  </w:style>
  <w:style w:type="paragraph" w:styleId="Heading5">
    <w:name w:val="heading 5"/>
    <w:basedOn w:val="Normal"/>
    <w:next w:val="Normal"/>
    <w:uiPriority w:val="9"/>
    <w:unhideWhenUsed/>
    <w:qFormat/>
    <w:pPr>
      <w:keepNext/>
      <w:keepLines/>
      <w:spacing w:after="100" w:line="228" w:lineRule="auto"/>
      <w:outlineLvl w:val="4"/>
    </w:pPr>
    <w:rPr>
      <w:smallCaps/>
      <w:color w:val="94979C"/>
      <w:sz w:val="22"/>
      <w:szCs w:val="22"/>
    </w:rPr>
  </w:style>
  <w:style w:type="paragraph" w:styleId="Heading6">
    <w:name w:val="heading 6"/>
    <w:basedOn w:val="Normal"/>
    <w:next w:val="Normal"/>
    <w:uiPriority w:val="9"/>
    <w:semiHidden/>
    <w:unhideWhenUsed/>
    <w:qFormat/>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100" w:line="192" w:lineRule="auto"/>
    </w:pPr>
    <w:rPr>
      <w:b/>
      <w:smallCaps/>
      <w:color w:val="C8102E"/>
      <w:sz w:val="64"/>
      <w:szCs w:val="64"/>
    </w:rPr>
  </w:style>
  <w:style w:type="paragraph" w:styleId="Subtitle">
    <w:name w:val="Subtitle"/>
    <w:basedOn w:val="Normal"/>
    <w:next w:val="Normal"/>
    <w:uiPriority w:val="11"/>
    <w:qFormat/>
    <w:pPr>
      <w:spacing w:after="120" w:line="216" w:lineRule="auto"/>
    </w:pPr>
    <w:rPr>
      <w:rFonts w:ascii="Times" w:eastAsia="Times" w:hAnsi="Times" w:cs="Times"/>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dataprotection@mercycorp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ce-dataprotection@mercycorps.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1067</Words>
  <Characters>6087</Characters>
  <Application>Microsoft Office Word</Application>
  <DocSecurity>0</DocSecurity>
  <Lines>50</Lines>
  <Paragraphs>14</Paragraphs>
  <ScaleCrop>false</ScaleCrop>
  <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Love</cp:lastModifiedBy>
  <cp:revision>2</cp:revision>
  <dcterms:created xsi:type="dcterms:W3CDTF">2020-12-21T20:47:00Z</dcterms:created>
  <dcterms:modified xsi:type="dcterms:W3CDTF">2020-12-21T20:48:00Z</dcterms:modified>
</cp:coreProperties>
</file>